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topLinePunct w:val="0"/>
        <w:autoSpaceDE/>
        <w:autoSpaceDN/>
        <w:bidi w:val="0"/>
        <w:adjustRightInd/>
        <w:snapToGrid/>
        <w:spacing w:line="560" w:lineRule="exact"/>
        <w:jc w:val="center"/>
        <w:rPr>
          <w:rFonts w:hint="default" w:ascii="Times New Roman" w:hAnsi="Times New Roman" w:eastAsia="方正小标宋简体" w:cs="Times New Roman"/>
          <w:snapToGrid w:val="0"/>
          <w:color w:val="000000"/>
          <w:sz w:val="44"/>
          <w:szCs w:val="44"/>
        </w:rPr>
      </w:pPr>
      <w:r>
        <w:rPr>
          <w:rFonts w:hint="default" w:ascii="Times New Roman" w:hAnsi="Times New Roman" w:eastAsia="方正小标宋简体" w:cs="Times New Roman"/>
          <w:snapToGrid w:val="0"/>
          <w:color w:val="000000"/>
          <w:sz w:val="44"/>
          <w:szCs w:val="44"/>
          <w:lang w:val="en-US" w:eastAsia="zh-CN"/>
        </w:rPr>
        <w:t xml:space="preserve"> </w:t>
      </w:r>
      <w:r>
        <w:rPr>
          <w:rFonts w:hint="default" w:ascii="Times New Roman" w:hAnsi="Times New Roman" w:eastAsia="方正小标宋简体" w:cs="Times New Roman"/>
          <w:snapToGrid w:val="0"/>
          <w:color w:val="000000"/>
          <w:sz w:val="44"/>
          <w:szCs w:val="44"/>
        </w:rPr>
        <w:t>关于颍东区2021年预算执行情况和</w:t>
      </w:r>
    </w:p>
    <w:p>
      <w:pPr>
        <w:pageBreakBefore w:val="0"/>
        <w:kinsoku/>
        <w:wordWrap/>
        <w:topLinePunct w:val="0"/>
        <w:autoSpaceDE/>
        <w:autoSpaceDN/>
        <w:bidi w:val="0"/>
        <w:adjustRightInd/>
        <w:snapToGrid/>
        <w:spacing w:line="560" w:lineRule="exact"/>
        <w:jc w:val="center"/>
        <w:rPr>
          <w:rFonts w:hint="default" w:ascii="Times New Roman" w:hAnsi="Times New Roman" w:eastAsia="方正小标宋简体" w:cs="Times New Roman"/>
          <w:snapToGrid w:val="0"/>
          <w:color w:val="000000"/>
          <w:sz w:val="44"/>
          <w:szCs w:val="44"/>
        </w:rPr>
      </w:pPr>
      <w:r>
        <w:rPr>
          <w:rFonts w:hint="default" w:ascii="Times New Roman" w:hAnsi="Times New Roman" w:eastAsia="方正小标宋简体" w:cs="Times New Roman"/>
          <w:snapToGrid w:val="0"/>
          <w:color w:val="000000"/>
          <w:sz w:val="44"/>
          <w:szCs w:val="44"/>
        </w:rPr>
        <w:t>2022年预算草案的报告</w:t>
      </w:r>
    </w:p>
    <w:p>
      <w:pPr>
        <w:pStyle w:val="2"/>
        <w:rPr>
          <w:rFonts w:hint="default"/>
        </w:rPr>
      </w:pPr>
    </w:p>
    <w:p>
      <w:pPr>
        <w:pageBreakBefore w:val="0"/>
        <w:kinsoku/>
        <w:wordWrap/>
        <w:topLinePunct w:val="0"/>
        <w:autoSpaceDE/>
        <w:autoSpaceDN/>
        <w:bidi w:val="0"/>
        <w:adjustRightInd/>
        <w:snapToGrid/>
        <w:spacing w:line="560" w:lineRule="exact"/>
        <w:jc w:val="center"/>
        <w:rPr>
          <w:rFonts w:hint="default" w:ascii="Times New Roman" w:hAnsi="Times New Roman" w:eastAsia="楷体" w:cs="Times New Roman"/>
          <w:snapToGrid w:val="0"/>
          <w:color w:val="000000"/>
          <w:sz w:val="32"/>
          <w:szCs w:val="32"/>
        </w:rPr>
      </w:pPr>
      <w:r>
        <w:rPr>
          <w:rFonts w:hint="default" w:ascii="Times New Roman" w:hAnsi="Times New Roman" w:eastAsia="楷体" w:cs="Times New Roman"/>
          <w:snapToGrid w:val="0"/>
          <w:color w:val="000000"/>
          <w:sz w:val="32"/>
          <w:szCs w:val="32"/>
        </w:rPr>
        <w:t>——2022年1月</w:t>
      </w:r>
      <w:r>
        <w:rPr>
          <w:rFonts w:hint="eastAsia" w:ascii="Times New Roman" w:hAnsi="Times New Roman" w:eastAsia="楷体" w:cs="Times New Roman"/>
          <w:snapToGrid w:val="0"/>
          <w:color w:val="000000"/>
          <w:sz w:val="32"/>
          <w:szCs w:val="32"/>
          <w:lang w:val="en-US" w:eastAsia="zh-CN"/>
        </w:rPr>
        <w:t>6</w:t>
      </w:r>
      <w:r>
        <w:rPr>
          <w:rFonts w:hint="default" w:ascii="Times New Roman" w:hAnsi="Times New Roman" w:eastAsia="楷体" w:cs="Times New Roman"/>
          <w:snapToGrid w:val="0"/>
          <w:color w:val="000000"/>
          <w:sz w:val="32"/>
          <w:szCs w:val="32"/>
        </w:rPr>
        <w:t>日在阜阳市颍东区第六届</w:t>
      </w:r>
    </w:p>
    <w:p>
      <w:pPr>
        <w:pageBreakBefore w:val="0"/>
        <w:kinsoku/>
        <w:wordWrap/>
        <w:topLinePunct w:val="0"/>
        <w:autoSpaceDE/>
        <w:autoSpaceDN/>
        <w:bidi w:val="0"/>
        <w:adjustRightInd/>
        <w:snapToGrid/>
        <w:spacing w:line="560" w:lineRule="exact"/>
        <w:jc w:val="center"/>
        <w:rPr>
          <w:rFonts w:hint="default" w:ascii="Times New Roman" w:hAnsi="Times New Roman" w:eastAsia="楷体" w:cs="Times New Roman"/>
          <w:snapToGrid w:val="0"/>
          <w:color w:val="000000"/>
          <w:sz w:val="32"/>
          <w:szCs w:val="32"/>
        </w:rPr>
      </w:pPr>
      <w:r>
        <w:rPr>
          <w:rFonts w:hint="default" w:ascii="Times New Roman" w:hAnsi="Times New Roman" w:eastAsia="楷体" w:cs="Times New Roman"/>
          <w:snapToGrid w:val="0"/>
          <w:color w:val="000000"/>
          <w:sz w:val="32"/>
          <w:szCs w:val="32"/>
        </w:rPr>
        <w:t>人民代表大会第一次会议上</w:t>
      </w:r>
    </w:p>
    <w:p>
      <w:pPr>
        <w:pageBreakBefore w:val="0"/>
        <w:kinsoku/>
        <w:wordWrap/>
        <w:topLinePunct w:val="0"/>
        <w:autoSpaceDE/>
        <w:autoSpaceDN/>
        <w:bidi w:val="0"/>
        <w:adjustRightInd/>
        <w:snapToGrid/>
        <w:spacing w:line="560" w:lineRule="exact"/>
        <w:jc w:val="center"/>
        <w:rPr>
          <w:rFonts w:hint="default" w:ascii="Times New Roman" w:hAnsi="Times New Roman" w:eastAsia="楷体" w:cs="Times New Roman"/>
          <w:sz w:val="32"/>
          <w:szCs w:val="32"/>
        </w:rPr>
      </w:pPr>
      <w:r>
        <w:rPr>
          <w:rFonts w:hint="default" w:ascii="Times New Roman" w:hAnsi="Times New Roman" w:eastAsia="楷体" w:cs="Times New Roman"/>
          <w:sz w:val="32"/>
          <w:szCs w:val="32"/>
        </w:rPr>
        <w:t>区财政局</w:t>
      </w:r>
    </w:p>
    <w:p>
      <w:pPr>
        <w:pageBreakBefore w:val="0"/>
        <w:kinsoku/>
        <w:wordWrap/>
        <w:overflowPunct w:val="0"/>
        <w:topLinePunct w:val="0"/>
        <w:autoSpaceDE/>
        <w:autoSpaceDN/>
        <w:bidi w:val="0"/>
        <w:adjustRightInd/>
        <w:snapToGrid/>
        <w:spacing w:line="560" w:lineRule="exact"/>
        <w:rPr>
          <w:rFonts w:hint="default" w:ascii="Times New Roman" w:hAnsi="Times New Roman" w:eastAsia="方正仿宋简体" w:cs="Times New Roman"/>
          <w:snapToGrid w:val="0"/>
          <w:color w:val="000000"/>
          <w:sz w:val="32"/>
          <w:szCs w:val="32"/>
        </w:rPr>
      </w:pPr>
    </w:p>
    <w:p>
      <w:pPr>
        <w:pageBreakBefore w:val="0"/>
        <w:kinsoku/>
        <w:wordWrap/>
        <w:overflowPunct w:val="0"/>
        <w:topLinePunct w:val="0"/>
        <w:autoSpaceDE/>
        <w:autoSpaceDN/>
        <w:bidi w:val="0"/>
        <w:adjustRightInd/>
        <w:snapToGrid/>
        <w:spacing w:line="560" w:lineRule="exact"/>
        <w:rPr>
          <w:rFonts w:hint="default" w:ascii="Times New Roman" w:hAnsi="Times New Roman" w:eastAsia="方正仿宋简体" w:cs="Times New Roman"/>
          <w:snapToGrid w:val="0"/>
          <w:color w:val="000000"/>
          <w:sz w:val="32"/>
          <w:szCs w:val="32"/>
        </w:rPr>
      </w:pPr>
      <w:r>
        <w:rPr>
          <w:rFonts w:hint="default" w:ascii="Times New Roman" w:hAnsi="Times New Roman" w:eastAsia="方正仿宋简体" w:cs="Times New Roman"/>
          <w:snapToGrid w:val="0"/>
          <w:color w:val="000000"/>
          <w:sz w:val="32"/>
          <w:szCs w:val="32"/>
        </w:rPr>
        <w:t>各位代表：</w:t>
      </w:r>
    </w:p>
    <w:p>
      <w:pPr>
        <w:pageBreakBefore w:val="0"/>
        <w:kinsoku/>
        <w:wordWrap/>
        <w:overflowPunct w:val="0"/>
        <w:topLinePunct w:val="0"/>
        <w:autoSpaceDE/>
        <w:autoSpaceDN/>
        <w:bidi w:val="0"/>
        <w:adjustRightInd/>
        <w:snapToGrid/>
        <w:spacing w:line="560" w:lineRule="exact"/>
        <w:ind w:firstLine="640" w:firstLineChars="200"/>
        <w:rPr>
          <w:rFonts w:hint="default" w:ascii="Times New Roman" w:hAnsi="Times New Roman" w:eastAsia="方正仿宋简体" w:cs="Times New Roman"/>
          <w:snapToGrid w:val="0"/>
          <w:color w:val="000000"/>
          <w:sz w:val="32"/>
          <w:szCs w:val="32"/>
          <w:lang w:val="en-US" w:eastAsia="zh-CN"/>
        </w:rPr>
      </w:pPr>
      <w:r>
        <w:rPr>
          <w:rFonts w:hint="default" w:ascii="Times New Roman" w:hAnsi="Times New Roman" w:eastAsia="方正仿宋简体" w:cs="Times New Roman"/>
          <w:snapToGrid w:val="0"/>
          <w:color w:val="000000"/>
          <w:sz w:val="32"/>
          <w:szCs w:val="32"/>
        </w:rPr>
        <w:t>受区人民政府委托，向大会报告颍东区2021年预算执行情况和2022年预算草案，请予审议，并请区政协委员和其他列席人员提出意见。</w:t>
      </w:r>
      <w:r>
        <w:rPr>
          <w:rFonts w:hint="default" w:ascii="Times New Roman" w:hAnsi="Times New Roman" w:eastAsia="方正仿宋简体" w:cs="Times New Roman"/>
          <w:snapToGrid w:val="0"/>
          <w:color w:val="000000"/>
          <w:sz w:val="32"/>
          <w:szCs w:val="32"/>
          <w:lang w:val="en-US" w:eastAsia="zh-CN"/>
        </w:rPr>
        <w:t xml:space="preserve"> </w:t>
      </w:r>
    </w:p>
    <w:p>
      <w:pPr>
        <w:pageBreakBefore w:val="0"/>
        <w:kinsoku/>
        <w:wordWrap/>
        <w:overflowPunct w:val="0"/>
        <w:topLinePunct w:val="0"/>
        <w:autoSpaceDE/>
        <w:autoSpaceDN/>
        <w:bidi w:val="0"/>
        <w:adjustRightInd/>
        <w:snapToGrid/>
        <w:spacing w:line="560" w:lineRule="exact"/>
        <w:ind w:firstLine="640" w:firstLineChars="200"/>
        <w:jc w:val="center"/>
        <w:outlineLvl w:val="0"/>
        <w:rPr>
          <w:rFonts w:hint="default" w:ascii="Times New Roman" w:hAnsi="Times New Roman" w:eastAsia="黑体" w:cs="Times New Roman"/>
          <w:snapToGrid w:val="0"/>
          <w:color w:val="000000"/>
          <w:sz w:val="32"/>
          <w:szCs w:val="32"/>
        </w:rPr>
      </w:pPr>
      <w:r>
        <w:rPr>
          <w:rFonts w:hint="default" w:ascii="Times New Roman" w:hAnsi="Times New Roman" w:eastAsia="黑体" w:cs="Times New Roman"/>
          <w:snapToGrid w:val="0"/>
          <w:color w:val="000000"/>
          <w:sz w:val="32"/>
          <w:szCs w:val="32"/>
        </w:rPr>
        <w:t>一、落实人大预算审查决议情况</w:t>
      </w:r>
    </w:p>
    <w:p>
      <w:pPr>
        <w:pageBreakBefore w:val="0"/>
        <w:kinsoku/>
        <w:wordWrap/>
        <w:topLinePunct w:val="0"/>
        <w:autoSpaceDE/>
        <w:autoSpaceDN/>
        <w:bidi w:val="0"/>
        <w:adjustRightInd/>
        <w:snapToGrid/>
        <w:spacing w:line="560" w:lineRule="exact"/>
        <w:ind w:firstLine="640" w:firstLineChars="200"/>
        <w:jc w:val="both"/>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2021年，区财政部门认真贯彻区五届人大五次会议决议和区人大常委会要求，自觉接受区人大依法监督和区政协民主监督，</w:t>
      </w:r>
      <w:r>
        <w:rPr>
          <w:rFonts w:hint="default" w:ascii="Times New Roman" w:hAnsi="Times New Roman" w:eastAsia="方正仿宋简体" w:cs="Times New Roman"/>
          <w:color w:val="000000"/>
          <w:spacing w:val="-12"/>
          <w:sz w:val="32"/>
          <w:szCs w:val="32"/>
        </w:rPr>
        <w:t>紧紧围绕中心，服</w:t>
      </w:r>
      <w:r>
        <w:rPr>
          <w:rFonts w:hint="default" w:ascii="Times New Roman" w:hAnsi="Times New Roman" w:eastAsia="方正仿宋简体" w:cs="Times New Roman"/>
          <w:sz w:val="32"/>
          <w:szCs w:val="32"/>
        </w:rPr>
        <w:t>务大局，统筹推进稳增长、保重点、促发展、防风险、提绩效各项工作，财政支撑作用明显增强，财政管理水平</w:t>
      </w:r>
      <w:r>
        <w:rPr>
          <w:rFonts w:hint="default" w:ascii="Times New Roman" w:hAnsi="Times New Roman" w:eastAsia="方正仿宋简体" w:cs="Times New Roman"/>
          <w:snapToGrid w:val="0"/>
          <w:color w:val="000000"/>
          <w:sz w:val="32"/>
          <w:szCs w:val="32"/>
        </w:rPr>
        <w:t>不断提升</w:t>
      </w:r>
      <w:r>
        <w:rPr>
          <w:rFonts w:hint="default" w:ascii="Times New Roman" w:hAnsi="Times New Roman" w:eastAsia="方正仿宋简体" w:cs="Times New Roman"/>
          <w:sz w:val="32"/>
          <w:szCs w:val="32"/>
        </w:rPr>
        <w:t>。</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（一）围绕稳增长抓好财源建设。</w:t>
      </w:r>
      <w:r>
        <w:rPr>
          <w:rFonts w:hint="default" w:ascii="Times New Roman" w:hAnsi="Times New Roman" w:eastAsia="方正仿宋简体" w:cs="Times New Roman"/>
          <w:snapToGrid w:val="0"/>
          <w:color w:val="000000"/>
          <w:sz w:val="32"/>
          <w:szCs w:val="32"/>
        </w:rPr>
        <w:t>克服新冠肺炎疫情、减税降费、经济下行等对税收的影响，强化财税部门协调配合，完善税源动态监控机制，联合税务部门积极开展重点税源调查，协调非税收入组织部门，做到应收尽收。加大上级资金争取力度，争取上级转移支付</w:t>
      </w:r>
      <w:r>
        <w:rPr>
          <w:rFonts w:hint="default" w:ascii="Times New Roman" w:hAnsi="Times New Roman" w:eastAsia="方正仿宋简体" w:cs="Times New Roman"/>
          <w:snapToGrid w:val="0"/>
          <w:color w:val="000000"/>
          <w:sz w:val="32"/>
          <w:szCs w:val="32"/>
          <w:lang w:val="en-US" w:eastAsia="zh-CN"/>
        </w:rPr>
        <w:t>21.11</w:t>
      </w:r>
      <w:r>
        <w:rPr>
          <w:rFonts w:hint="default" w:ascii="Times New Roman" w:hAnsi="Times New Roman" w:eastAsia="方正仿宋简体" w:cs="Times New Roman"/>
          <w:snapToGrid w:val="0"/>
          <w:color w:val="000000"/>
          <w:sz w:val="32"/>
          <w:szCs w:val="32"/>
        </w:rPr>
        <w:t>亿元，新增</w:t>
      </w:r>
      <w:r>
        <w:rPr>
          <w:rFonts w:hint="eastAsia" w:ascii="Times New Roman" w:hAnsi="Times New Roman" w:eastAsia="方正仿宋简体" w:cs="Times New Roman"/>
          <w:snapToGrid w:val="0"/>
          <w:color w:val="000000"/>
          <w:sz w:val="32"/>
          <w:szCs w:val="32"/>
          <w:lang w:eastAsia="zh-CN"/>
        </w:rPr>
        <w:t>政府</w:t>
      </w:r>
      <w:r>
        <w:rPr>
          <w:rFonts w:hint="default" w:ascii="Times New Roman" w:hAnsi="Times New Roman" w:eastAsia="方正仿宋简体" w:cs="Times New Roman"/>
          <w:snapToGrid w:val="0"/>
          <w:color w:val="000000"/>
          <w:sz w:val="32"/>
          <w:szCs w:val="32"/>
        </w:rPr>
        <w:t>债券</w:t>
      </w:r>
      <w:r>
        <w:rPr>
          <w:rFonts w:hint="eastAsia" w:ascii="Times New Roman" w:hAnsi="Times New Roman" w:eastAsia="方正仿宋简体" w:cs="Times New Roman"/>
          <w:snapToGrid w:val="0"/>
          <w:color w:val="000000"/>
          <w:sz w:val="32"/>
          <w:szCs w:val="32"/>
          <w:lang w:val="en-US" w:eastAsia="zh-CN"/>
        </w:rPr>
        <w:t>10.70</w:t>
      </w:r>
      <w:r>
        <w:rPr>
          <w:rFonts w:hint="default" w:ascii="Times New Roman" w:hAnsi="Times New Roman" w:eastAsia="方正仿宋简体" w:cs="Times New Roman"/>
          <w:snapToGrid w:val="0"/>
          <w:color w:val="000000"/>
          <w:sz w:val="32"/>
          <w:szCs w:val="32"/>
        </w:rPr>
        <w:t>亿元。落实落细减税降费政策，助力民营经济发展，夯实经济基础，多渠道开源节流，实现财政平稳运行，促进财政提质增效、可持续发展。</w:t>
      </w:r>
    </w:p>
    <w:p>
      <w:pPr>
        <w:pageBreakBefore w:val="0"/>
        <w:kinsoku/>
        <w:wordWrap/>
        <w:topLinePunct w:val="0"/>
        <w:autoSpaceDE/>
        <w:autoSpaceDN/>
        <w:bidi w:val="0"/>
        <w:adjustRightInd/>
        <w:snapToGrid/>
        <w:spacing w:line="560" w:lineRule="exact"/>
        <w:ind w:firstLine="640" w:firstLineChars="200"/>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（二）围绕保重点</w:t>
      </w:r>
      <w:r>
        <w:rPr>
          <w:rFonts w:hint="default" w:ascii="Times New Roman" w:hAnsi="Times New Roman" w:eastAsia="楷体_GB2312" w:cs="Times New Roman"/>
          <w:snapToGrid w:val="0"/>
          <w:color w:val="000000"/>
          <w:sz w:val="32"/>
          <w:szCs w:val="32"/>
          <w:lang w:eastAsia="zh-CN"/>
        </w:rPr>
        <w:t>坚持</w:t>
      </w:r>
      <w:r>
        <w:rPr>
          <w:rFonts w:hint="default" w:ascii="Times New Roman" w:hAnsi="Times New Roman" w:eastAsia="楷体_GB2312" w:cs="Times New Roman"/>
          <w:snapToGrid w:val="0"/>
          <w:color w:val="000000"/>
          <w:sz w:val="32"/>
          <w:szCs w:val="32"/>
        </w:rPr>
        <w:t>过紧日子。</w:t>
      </w:r>
      <w:r>
        <w:rPr>
          <w:rFonts w:hint="default" w:ascii="Times New Roman" w:hAnsi="Times New Roman" w:eastAsia="方正仿宋简体" w:cs="Times New Roman"/>
          <w:snapToGrid w:val="0"/>
          <w:color w:val="000000"/>
          <w:sz w:val="32"/>
          <w:szCs w:val="32"/>
        </w:rPr>
        <w:t>牢固树立过紧日子思想，进一步压缩一般性支出，继续压减“三公”经费，缓解财政收支矛盾。盘活财政存量资金，建立财政对外借款回收责任机制，健全预算单位报表报送和财务审核制度，全面清理单位结余资金，重点用于扶贫工程、乡村振兴、基础设施建设等项目支出，全力保障“三保”需要，财政保障能力进一步增强。</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（三）围绕促发展推进金融改革。</w:t>
      </w:r>
      <w:r>
        <w:rPr>
          <w:rFonts w:hint="default" w:ascii="Times New Roman" w:hAnsi="Times New Roman" w:eastAsia="方正仿宋简体" w:cs="Times New Roman"/>
          <w:snapToGrid w:val="0"/>
          <w:color w:val="000000"/>
          <w:sz w:val="32"/>
          <w:szCs w:val="32"/>
        </w:rPr>
        <w:t>用好用活“政银担”“税融通”“无还本续贷”“续贷过桥”等金融工具，为企业发展持续“输血”“续航”。加快推进企业挂牌上市和直接融资，引导投资基金加大股权投资力度，拓展企业融资渠道。开展“金融顾问”服务企业和“行长遍访市场主体”活动，提高金融服务质效。积极推广“阜阳金服”平台注册应用，打通金融供给渠道，有力助推经济高质量发展。</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（四）围绕防风险加强债务管理。</w:t>
      </w:r>
      <w:r>
        <w:rPr>
          <w:rFonts w:hint="default" w:ascii="Times New Roman" w:hAnsi="Times New Roman" w:eastAsia="方正仿宋简体" w:cs="Times New Roman"/>
          <w:snapToGrid w:val="0"/>
          <w:color w:val="000000"/>
          <w:sz w:val="32"/>
          <w:szCs w:val="32"/>
        </w:rPr>
        <w:t>加强债务预算管理和限额管理，将一般债务和专项债务纳入全口径预算管理，严格</w:t>
      </w:r>
      <w:r>
        <w:rPr>
          <w:rFonts w:hint="eastAsia" w:ascii="Times New Roman" w:hAnsi="Times New Roman" w:eastAsia="方正仿宋简体" w:cs="Times New Roman"/>
          <w:snapToGrid w:val="0"/>
          <w:color w:val="000000"/>
          <w:sz w:val="32"/>
          <w:szCs w:val="32"/>
          <w:lang w:eastAsia="zh-CN"/>
        </w:rPr>
        <w:t>审核</w:t>
      </w:r>
      <w:r>
        <w:rPr>
          <w:rFonts w:hint="default" w:ascii="Times New Roman" w:hAnsi="Times New Roman" w:eastAsia="方正仿宋简体" w:cs="Times New Roman"/>
          <w:snapToGrid w:val="0"/>
          <w:color w:val="000000"/>
          <w:sz w:val="32"/>
          <w:szCs w:val="32"/>
        </w:rPr>
        <w:t>政府投资项目，着力控制新增债务。加强隐性债务风险防控，实行月度报告制度，通过年度预算资金安排、出让股权以及经营性国有资产权益、企事业单位经营收入等多种措施，妥善化解存量隐性债务，政府债务余额未突破限额，守住不发生系统</w:t>
      </w:r>
      <w:r>
        <w:rPr>
          <w:rFonts w:hint="default" w:ascii="Times New Roman" w:hAnsi="Times New Roman" w:eastAsia="方正仿宋简体" w:cs="Times New Roman"/>
          <w:snapToGrid w:val="0"/>
          <w:color w:val="000000"/>
          <w:sz w:val="32"/>
          <w:szCs w:val="32"/>
          <w:lang w:eastAsia="zh-CN"/>
        </w:rPr>
        <w:t>性</w:t>
      </w:r>
      <w:r>
        <w:rPr>
          <w:rFonts w:hint="default" w:ascii="Times New Roman" w:hAnsi="Times New Roman" w:eastAsia="方正仿宋简体" w:cs="Times New Roman"/>
          <w:snapToGrid w:val="0"/>
          <w:color w:val="000000"/>
          <w:sz w:val="32"/>
          <w:szCs w:val="32"/>
        </w:rPr>
        <w:t>风险的底线。</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z w:val="32"/>
          <w:szCs w:val="32"/>
        </w:rPr>
      </w:pPr>
      <w:r>
        <w:rPr>
          <w:rFonts w:hint="default" w:ascii="Times New Roman" w:hAnsi="Times New Roman" w:eastAsia="楷体_GB2312" w:cs="Times New Roman"/>
          <w:snapToGrid w:val="0"/>
          <w:color w:val="000000"/>
          <w:sz w:val="32"/>
          <w:szCs w:val="32"/>
        </w:rPr>
        <w:t>（五）围绕提绩效创新财政管理。</w:t>
      </w:r>
      <w:r>
        <w:rPr>
          <w:rFonts w:hint="default" w:ascii="Times New Roman" w:hAnsi="Times New Roman" w:eastAsia="方正仿宋简体" w:cs="Times New Roman"/>
          <w:snapToGrid w:val="0"/>
          <w:color w:val="000000"/>
          <w:sz w:val="32"/>
          <w:szCs w:val="32"/>
        </w:rPr>
        <w:t>深化财政改革，全面推</w:t>
      </w:r>
      <w:r>
        <w:rPr>
          <w:rFonts w:hint="eastAsia" w:ascii="Times New Roman" w:hAnsi="Times New Roman" w:eastAsia="方正仿宋简体" w:cs="Times New Roman"/>
          <w:snapToGrid w:val="0"/>
          <w:color w:val="000000"/>
          <w:sz w:val="32"/>
          <w:szCs w:val="32"/>
          <w:lang w:eastAsia="zh-CN"/>
        </w:rPr>
        <w:t>动</w:t>
      </w:r>
      <w:r>
        <w:rPr>
          <w:rFonts w:hint="default" w:ascii="Times New Roman" w:hAnsi="Times New Roman" w:eastAsia="方正仿宋简体" w:cs="Times New Roman"/>
          <w:snapToGrid w:val="0"/>
          <w:color w:val="000000"/>
          <w:sz w:val="32"/>
          <w:szCs w:val="32"/>
        </w:rPr>
        <w:t>预算一体化系统</w:t>
      </w:r>
      <w:r>
        <w:rPr>
          <w:rFonts w:hint="eastAsia" w:ascii="Times New Roman" w:hAnsi="Times New Roman" w:eastAsia="方正仿宋简体" w:cs="Times New Roman"/>
          <w:snapToGrid w:val="0"/>
          <w:color w:val="000000"/>
          <w:sz w:val="32"/>
          <w:szCs w:val="32"/>
          <w:lang w:eastAsia="zh-CN"/>
        </w:rPr>
        <w:t>应用</w:t>
      </w:r>
      <w:r>
        <w:rPr>
          <w:rFonts w:hint="default" w:ascii="Times New Roman" w:hAnsi="Times New Roman" w:eastAsia="方正仿宋简体" w:cs="Times New Roman"/>
          <w:snapToGrid w:val="0"/>
          <w:color w:val="000000"/>
          <w:sz w:val="32"/>
          <w:szCs w:val="32"/>
        </w:rPr>
        <w:t>，完善预算绩效管理体系。印发《颍东</w:t>
      </w:r>
      <w:r>
        <w:rPr>
          <w:rFonts w:hint="default" w:ascii="Times New Roman" w:hAnsi="Times New Roman" w:eastAsia="方正仿宋简体" w:cs="Times New Roman"/>
          <w:sz w:val="32"/>
          <w:szCs w:val="32"/>
        </w:rPr>
        <w:t>区区直部门预算绩效运行监控管理暂行办法》等一系列文件，将绩效管理落实到项目全过程。建立健全内部监督管理长效机制，重大项目均纳入预算绩效管理信息系统实行全过程管理。强化预算绩效评价结果运用，初步建立绩效评价结果与预算安排挂钩的激励约束机制，</w:t>
      </w:r>
      <w:r>
        <w:rPr>
          <w:rFonts w:hint="default" w:ascii="Times New Roman" w:hAnsi="Times New Roman" w:eastAsia="方正仿宋简体" w:cs="Times New Roman"/>
          <w:color w:val="000000"/>
          <w:sz w:val="32"/>
          <w:szCs w:val="32"/>
          <w:shd w:val="clear" w:color="auto" w:fill="FFFFFF"/>
        </w:rPr>
        <w:t>确保财政资金发挥最大效益。</w:t>
      </w:r>
    </w:p>
    <w:p>
      <w:pPr>
        <w:pageBreakBefore w:val="0"/>
        <w:kinsoku/>
        <w:wordWrap/>
        <w:overflowPunct w:val="0"/>
        <w:topLinePunct w:val="0"/>
        <w:autoSpaceDE/>
        <w:autoSpaceDN/>
        <w:bidi w:val="0"/>
        <w:adjustRightInd/>
        <w:snapToGrid/>
        <w:spacing w:line="560" w:lineRule="exact"/>
        <w:jc w:val="center"/>
        <w:outlineLvl w:val="0"/>
        <w:rPr>
          <w:rFonts w:hint="default" w:ascii="Times New Roman" w:hAnsi="Times New Roman" w:eastAsia="黑体" w:cs="Times New Roman"/>
          <w:snapToGrid w:val="0"/>
          <w:color w:val="000000"/>
          <w:sz w:val="32"/>
          <w:szCs w:val="32"/>
        </w:rPr>
      </w:pPr>
      <w:r>
        <w:rPr>
          <w:rFonts w:hint="default" w:ascii="Times New Roman" w:hAnsi="Times New Roman" w:eastAsia="黑体" w:cs="Times New Roman"/>
          <w:snapToGrid w:val="0"/>
          <w:color w:val="000000"/>
          <w:sz w:val="32"/>
          <w:szCs w:val="32"/>
        </w:rPr>
        <w:t>二、2021 年预算执行情况</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方正仿宋简体" w:cs="Times New Roman"/>
          <w:snapToGrid w:val="0"/>
          <w:color w:val="000000"/>
          <w:sz w:val="32"/>
          <w:szCs w:val="32"/>
        </w:rPr>
        <w:t>2021年是喜迎建党百年华诞，也是全面开启“十四五”规划、踏上新征程的一年。一年来，在区委、区政府的坚强领导下，在区人大依法监督和区政协民主监督下，区财政充分发挥财政职能作用，努力克服财税体制调整、减税降费、新冠疫情等因素影响，认真落实“积极的财政政策要更加积极有为”的要求，全力做好财政各项工作，为推动经济发展实现量的合理增长和质的稳步提升，提供了有力的财政保障。</w:t>
      </w:r>
    </w:p>
    <w:p>
      <w:pPr>
        <w:pageBreakBefore w:val="0"/>
        <w:kinsoku/>
        <w:wordWrap/>
        <w:topLinePunct w:val="0"/>
        <w:autoSpaceDE/>
        <w:autoSpaceDN/>
        <w:bidi w:val="0"/>
        <w:adjustRightInd/>
        <w:snapToGrid/>
        <w:spacing w:line="560" w:lineRule="exact"/>
        <w:ind w:firstLine="640" w:firstLineChars="200"/>
        <w:outlineLvl w:val="2"/>
        <w:rPr>
          <w:rFonts w:hint="default" w:ascii="Times New Roman" w:hAnsi="Times New Roman" w:eastAsia="黑体" w:cs="Times New Roman"/>
          <w:snapToGrid w:val="0"/>
          <w:color w:val="000000"/>
          <w:sz w:val="32"/>
          <w:szCs w:val="32"/>
        </w:rPr>
      </w:pPr>
      <w:r>
        <w:rPr>
          <w:rFonts w:hint="default" w:ascii="Times New Roman" w:hAnsi="Times New Roman" w:eastAsia="黑体" w:cs="Times New Roman"/>
          <w:snapToGrid w:val="0"/>
          <w:color w:val="000000"/>
          <w:sz w:val="32"/>
          <w:szCs w:val="32"/>
        </w:rPr>
        <w:t>（一）2021年全区四本预算执行情况</w:t>
      </w:r>
    </w:p>
    <w:p>
      <w:pPr>
        <w:pageBreakBefore w:val="0"/>
        <w:numPr>
          <w:ilvl w:val="0"/>
          <w:numId w:val="0"/>
        </w:numPr>
        <w:kinsoku/>
        <w:wordWrap/>
        <w:topLinePunct w:val="0"/>
        <w:autoSpaceDE/>
        <w:autoSpaceDN/>
        <w:bidi w:val="0"/>
        <w:adjustRightInd/>
        <w:snapToGrid/>
        <w:spacing w:line="560" w:lineRule="exact"/>
        <w:ind w:firstLine="640" w:firstLineChars="200"/>
        <w:jc w:val="both"/>
        <w:outlineLvl w:val="2"/>
        <w:rPr>
          <w:rFonts w:hint="eastAsia" w:ascii="仿宋_GB2312" w:hAnsi="仿宋_GB2312" w:eastAsia="仿宋_GB2312" w:cs="仿宋_GB2312"/>
          <w:snapToGrid w:val="0"/>
          <w:color w:val="000000"/>
          <w:sz w:val="32"/>
          <w:szCs w:val="32"/>
        </w:rPr>
      </w:pPr>
      <w:r>
        <w:rPr>
          <w:rFonts w:hint="default" w:ascii="Times New Roman" w:hAnsi="Times New Roman" w:eastAsia="楷体_GB2312" w:cs="Times New Roman"/>
          <w:snapToGrid w:val="0"/>
          <w:color w:val="000000"/>
          <w:sz w:val="32"/>
          <w:szCs w:val="32"/>
        </w:rPr>
        <w:t>1</w:t>
      </w:r>
      <w:r>
        <w:rPr>
          <w:rFonts w:hint="eastAsia" w:ascii="Times New Roman" w:hAnsi="Times New Roman" w:eastAsia="楷体_GB2312" w:cs="Times New Roman"/>
          <w:snapToGrid w:val="0"/>
          <w:color w:val="000000"/>
          <w:sz w:val="32"/>
          <w:szCs w:val="32"/>
          <w:lang w:eastAsia="zh-CN"/>
        </w:rPr>
        <w:t>.</w:t>
      </w:r>
      <w:r>
        <w:rPr>
          <w:rFonts w:hint="default" w:ascii="Times New Roman" w:hAnsi="Times New Roman" w:eastAsia="楷体_GB2312" w:cs="Times New Roman"/>
          <w:snapToGrid w:val="0"/>
          <w:color w:val="000000"/>
          <w:sz w:val="32"/>
          <w:szCs w:val="32"/>
        </w:rPr>
        <w:t>一般公共预算。</w:t>
      </w:r>
      <w:r>
        <w:rPr>
          <w:rFonts w:hint="eastAsia" w:ascii="仿宋_GB2312" w:hAnsi="仿宋_GB2312" w:eastAsia="仿宋_GB2312" w:cs="仿宋_GB2312"/>
          <w:snapToGrid w:val="0"/>
          <w:color w:val="000000"/>
          <w:sz w:val="32"/>
          <w:szCs w:val="32"/>
        </w:rPr>
        <w:t>全区一般公共预算收入完成</w:t>
      </w:r>
      <w:r>
        <w:rPr>
          <w:rFonts w:hint="eastAsia" w:ascii="仿宋_GB2312" w:hAnsi="仿宋_GB2312" w:eastAsia="仿宋_GB2312" w:cs="仿宋_GB2312"/>
          <w:snapToGrid w:val="0"/>
          <w:color w:val="000000"/>
          <w:sz w:val="32"/>
          <w:szCs w:val="32"/>
          <w:lang w:val="en-US" w:eastAsia="zh-CN"/>
        </w:rPr>
        <w:t>14.85</w:t>
      </w:r>
      <w:r>
        <w:rPr>
          <w:rFonts w:hint="eastAsia" w:ascii="仿宋_GB2312" w:hAnsi="仿宋_GB2312" w:eastAsia="仿宋_GB2312" w:cs="仿宋_GB2312"/>
          <w:snapToGrid w:val="0"/>
          <w:color w:val="000000"/>
          <w:sz w:val="32"/>
          <w:szCs w:val="32"/>
        </w:rPr>
        <w:t>亿元，上级补助收入</w:t>
      </w:r>
      <w:r>
        <w:rPr>
          <w:rFonts w:hint="eastAsia" w:ascii="仿宋_GB2312" w:hAnsi="仿宋_GB2312" w:eastAsia="仿宋_GB2312" w:cs="仿宋_GB2312"/>
          <w:snapToGrid w:val="0"/>
          <w:color w:val="000000"/>
          <w:sz w:val="32"/>
          <w:szCs w:val="32"/>
          <w:lang w:val="en-US" w:eastAsia="zh-CN"/>
        </w:rPr>
        <w:t>21.11</w:t>
      </w:r>
      <w:r>
        <w:rPr>
          <w:rFonts w:hint="eastAsia" w:ascii="仿宋_GB2312" w:hAnsi="仿宋_GB2312" w:eastAsia="仿宋_GB2312" w:cs="仿宋_GB2312"/>
          <w:snapToGrid w:val="0"/>
          <w:color w:val="000000"/>
          <w:sz w:val="32"/>
          <w:szCs w:val="32"/>
        </w:rPr>
        <w:t>亿元、地方政府一般债券转贷收入</w:t>
      </w:r>
      <w:r>
        <w:rPr>
          <w:rFonts w:hint="eastAsia" w:ascii="仿宋_GB2312" w:hAnsi="仿宋_GB2312" w:eastAsia="仿宋_GB2312" w:cs="仿宋_GB2312"/>
          <w:snapToGrid w:val="0"/>
          <w:color w:val="000000"/>
          <w:sz w:val="32"/>
          <w:szCs w:val="32"/>
          <w:lang w:val="en-US" w:eastAsia="zh-CN"/>
        </w:rPr>
        <w:t>3.90</w:t>
      </w:r>
      <w:r>
        <w:rPr>
          <w:rFonts w:hint="eastAsia" w:ascii="仿宋_GB2312" w:hAnsi="仿宋_GB2312" w:eastAsia="仿宋_GB2312" w:cs="仿宋_GB2312"/>
          <w:snapToGrid w:val="0"/>
          <w:color w:val="000000"/>
          <w:sz w:val="32"/>
          <w:szCs w:val="32"/>
        </w:rPr>
        <w:t>亿元、调入资金</w:t>
      </w:r>
      <w:r>
        <w:rPr>
          <w:rFonts w:hint="eastAsia" w:ascii="仿宋_GB2312" w:hAnsi="仿宋_GB2312" w:eastAsia="仿宋_GB2312" w:cs="仿宋_GB2312"/>
          <w:snapToGrid w:val="0"/>
          <w:color w:val="000000"/>
          <w:sz w:val="32"/>
          <w:szCs w:val="32"/>
          <w:lang w:val="en-US" w:eastAsia="zh-CN"/>
        </w:rPr>
        <w:t>1.21</w:t>
      </w:r>
      <w:r>
        <w:rPr>
          <w:rFonts w:hint="eastAsia" w:ascii="仿宋_GB2312" w:hAnsi="仿宋_GB2312" w:eastAsia="仿宋_GB2312" w:cs="仿宋_GB2312"/>
          <w:snapToGrid w:val="0"/>
          <w:color w:val="000000"/>
          <w:sz w:val="32"/>
          <w:szCs w:val="32"/>
        </w:rPr>
        <w:t>亿元，调入预算稳定调节基金</w:t>
      </w:r>
      <w:r>
        <w:rPr>
          <w:rFonts w:hint="eastAsia" w:ascii="仿宋_GB2312" w:hAnsi="仿宋_GB2312" w:eastAsia="仿宋_GB2312" w:cs="仿宋_GB2312"/>
          <w:snapToGrid w:val="0"/>
          <w:color w:val="000000"/>
          <w:sz w:val="32"/>
          <w:szCs w:val="32"/>
          <w:lang w:val="en-US" w:eastAsia="zh-CN"/>
        </w:rPr>
        <w:t>1.35</w:t>
      </w:r>
      <w:r>
        <w:rPr>
          <w:rFonts w:hint="eastAsia" w:ascii="仿宋_GB2312" w:hAnsi="仿宋_GB2312" w:eastAsia="仿宋_GB2312" w:cs="仿宋_GB2312"/>
          <w:snapToGrid w:val="0"/>
          <w:color w:val="000000"/>
          <w:sz w:val="32"/>
          <w:szCs w:val="32"/>
        </w:rPr>
        <w:t>亿元，上年结转收入</w:t>
      </w:r>
      <w:r>
        <w:rPr>
          <w:rFonts w:hint="eastAsia" w:ascii="仿宋_GB2312" w:hAnsi="仿宋_GB2312" w:eastAsia="仿宋_GB2312" w:cs="仿宋_GB2312"/>
          <w:snapToGrid w:val="0"/>
          <w:color w:val="000000"/>
          <w:sz w:val="32"/>
          <w:szCs w:val="32"/>
          <w:lang w:val="en-US" w:eastAsia="zh-CN"/>
        </w:rPr>
        <w:t>0.34</w:t>
      </w:r>
      <w:r>
        <w:rPr>
          <w:rFonts w:hint="eastAsia" w:ascii="仿宋_GB2312" w:hAnsi="仿宋_GB2312" w:eastAsia="仿宋_GB2312" w:cs="仿宋_GB2312"/>
          <w:snapToGrid w:val="0"/>
          <w:color w:val="000000"/>
          <w:sz w:val="32"/>
          <w:szCs w:val="32"/>
        </w:rPr>
        <w:t>亿元，收入合计</w:t>
      </w:r>
      <w:r>
        <w:rPr>
          <w:rFonts w:hint="eastAsia" w:ascii="仿宋_GB2312" w:hAnsi="仿宋_GB2312" w:eastAsia="仿宋_GB2312" w:cs="仿宋_GB2312"/>
          <w:snapToGrid w:val="0"/>
          <w:color w:val="000000"/>
          <w:sz w:val="32"/>
          <w:szCs w:val="32"/>
          <w:lang w:val="en-US" w:eastAsia="zh-CN"/>
        </w:rPr>
        <w:t>42.76</w:t>
      </w:r>
      <w:r>
        <w:rPr>
          <w:rFonts w:hint="eastAsia" w:ascii="仿宋_GB2312" w:hAnsi="仿宋_GB2312" w:eastAsia="仿宋_GB2312" w:cs="仿宋_GB2312"/>
          <w:snapToGrid w:val="0"/>
          <w:color w:val="000000"/>
          <w:sz w:val="32"/>
          <w:szCs w:val="32"/>
        </w:rPr>
        <w:t>亿元。全区一般公共预算支出完成</w:t>
      </w:r>
      <w:r>
        <w:rPr>
          <w:rFonts w:hint="eastAsia" w:ascii="仿宋_GB2312" w:hAnsi="仿宋_GB2312" w:eastAsia="仿宋_GB2312" w:cs="仿宋_GB2312"/>
          <w:snapToGrid w:val="0"/>
          <w:color w:val="000000"/>
          <w:sz w:val="32"/>
          <w:szCs w:val="32"/>
          <w:lang w:val="en-US" w:eastAsia="zh-CN"/>
        </w:rPr>
        <w:t>35.62</w:t>
      </w:r>
      <w:r>
        <w:rPr>
          <w:rFonts w:hint="eastAsia" w:ascii="仿宋_GB2312" w:hAnsi="仿宋_GB2312" w:eastAsia="仿宋_GB2312" w:cs="仿宋_GB2312"/>
          <w:snapToGrid w:val="0"/>
          <w:color w:val="000000"/>
          <w:sz w:val="32"/>
          <w:szCs w:val="32"/>
        </w:rPr>
        <w:t>亿元，地方政府一般债券还本支出</w:t>
      </w:r>
      <w:r>
        <w:rPr>
          <w:rFonts w:hint="eastAsia" w:ascii="仿宋_GB2312" w:hAnsi="仿宋_GB2312" w:eastAsia="仿宋_GB2312" w:cs="仿宋_GB2312"/>
          <w:snapToGrid w:val="0"/>
          <w:color w:val="000000"/>
          <w:sz w:val="32"/>
          <w:szCs w:val="32"/>
          <w:lang w:val="en-US" w:eastAsia="zh-CN"/>
        </w:rPr>
        <w:t>2.94</w:t>
      </w:r>
      <w:r>
        <w:rPr>
          <w:rFonts w:hint="eastAsia" w:ascii="仿宋_GB2312" w:hAnsi="仿宋_GB2312" w:eastAsia="仿宋_GB2312" w:cs="仿宋_GB2312"/>
          <w:snapToGrid w:val="0"/>
          <w:color w:val="000000"/>
          <w:sz w:val="32"/>
          <w:szCs w:val="32"/>
        </w:rPr>
        <w:t>亿元、上解上级支出</w:t>
      </w:r>
      <w:r>
        <w:rPr>
          <w:rFonts w:hint="eastAsia" w:ascii="仿宋_GB2312" w:hAnsi="仿宋_GB2312" w:eastAsia="仿宋_GB2312" w:cs="仿宋_GB2312"/>
          <w:snapToGrid w:val="0"/>
          <w:color w:val="000000"/>
          <w:sz w:val="32"/>
          <w:szCs w:val="32"/>
          <w:lang w:val="en-US" w:eastAsia="zh-CN"/>
        </w:rPr>
        <w:t>3.43</w:t>
      </w:r>
      <w:r>
        <w:rPr>
          <w:rFonts w:hint="eastAsia" w:ascii="仿宋_GB2312" w:hAnsi="仿宋_GB2312" w:eastAsia="仿宋_GB2312" w:cs="仿宋_GB2312"/>
          <w:snapToGrid w:val="0"/>
          <w:color w:val="000000"/>
          <w:sz w:val="32"/>
          <w:szCs w:val="32"/>
        </w:rPr>
        <w:t>亿元，安排预算稳定调节基金</w:t>
      </w:r>
      <w:r>
        <w:rPr>
          <w:rFonts w:hint="eastAsia" w:ascii="仿宋_GB2312" w:hAnsi="仿宋_GB2312" w:eastAsia="仿宋_GB2312" w:cs="仿宋_GB2312"/>
          <w:snapToGrid w:val="0"/>
          <w:color w:val="000000"/>
          <w:sz w:val="32"/>
          <w:szCs w:val="32"/>
          <w:lang w:val="en-US" w:eastAsia="zh-CN"/>
        </w:rPr>
        <w:t>0.01</w:t>
      </w:r>
      <w:r>
        <w:rPr>
          <w:rFonts w:hint="eastAsia" w:ascii="仿宋_GB2312" w:hAnsi="仿宋_GB2312" w:eastAsia="仿宋_GB2312" w:cs="仿宋_GB2312"/>
          <w:snapToGrid w:val="0"/>
          <w:color w:val="000000"/>
          <w:sz w:val="32"/>
          <w:szCs w:val="32"/>
        </w:rPr>
        <w:t>亿元、结转下年</w:t>
      </w:r>
      <w:r>
        <w:rPr>
          <w:rFonts w:hint="eastAsia" w:ascii="仿宋_GB2312" w:hAnsi="仿宋_GB2312" w:eastAsia="仿宋_GB2312" w:cs="仿宋_GB2312"/>
          <w:snapToGrid w:val="0"/>
          <w:color w:val="000000"/>
          <w:sz w:val="32"/>
          <w:szCs w:val="32"/>
          <w:lang w:val="en-US" w:eastAsia="zh-CN"/>
        </w:rPr>
        <w:t>0.76</w:t>
      </w:r>
      <w:r>
        <w:rPr>
          <w:rFonts w:hint="eastAsia" w:ascii="仿宋_GB2312" w:hAnsi="仿宋_GB2312" w:eastAsia="仿宋_GB2312" w:cs="仿宋_GB2312"/>
          <w:snapToGrid w:val="0"/>
          <w:color w:val="000000"/>
          <w:sz w:val="32"/>
          <w:szCs w:val="32"/>
        </w:rPr>
        <w:t>亿元，支出合计</w:t>
      </w:r>
      <w:r>
        <w:rPr>
          <w:rFonts w:hint="eastAsia" w:ascii="仿宋_GB2312" w:hAnsi="仿宋_GB2312" w:eastAsia="仿宋_GB2312" w:cs="仿宋_GB2312"/>
          <w:snapToGrid w:val="0"/>
          <w:color w:val="000000"/>
          <w:sz w:val="32"/>
          <w:szCs w:val="32"/>
          <w:lang w:val="en-US" w:eastAsia="zh-CN"/>
        </w:rPr>
        <w:t>42.76</w:t>
      </w:r>
      <w:r>
        <w:rPr>
          <w:rFonts w:hint="eastAsia" w:ascii="仿宋_GB2312" w:hAnsi="仿宋_GB2312" w:eastAsia="仿宋_GB2312" w:cs="仿宋_GB2312"/>
          <w:snapToGrid w:val="0"/>
          <w:color w:val="000000"/>
          <w:sz w:val="32"/>
          <w:szCs w:val="32"/>
        </w:rPr>
        <w:t>亿元。</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2.政府性基金预算。</w:t>
      </w:r>
      <w:r>
        <w:rPr>
          <w:rFonts w:hint="eastAsia" w:ascii="仿宋_GB2312" w:hAnsi="仿宋_GB2312" w:eastAsia="仿宋_GB2312" w:cs="仿宋_GB2312"/>
          <w:snapToGrid w:val="0"/>
          <w:color w:val="000000"/>
          <w:sz w:val="32"/>
          <w:szCs w:val="32"/>
        </w:rPr>
        <w:t>全区政府性基金上级补助收入</w:t>
      </w:r>
      <w:r>
        <w:rPr>
          <w:rFonts w:hint="eastAsia" w:ascii="仿宋_GB2312" w:hAnsi="仿宋_GB2312" w:eastAsia="仿宋_GB2312" w:cs="仿宋_GB2312"/>
          <w:snapToGrid w:val="0"/>
          <w:color w:val="000000"/>
          <w:sz w:val="32"/>
          <w:szCs w:val="32"/>
          <w:lang w:val="en-US" w:eastAsia="zh-CN"/>
        </w:rPr>
        <w:t>25.88</w:t>
      </w:r>
      <w:r>
        <w:rPr>
          <w:rFonts w:hint="eastAsia" w:ascii="仿宋_GB2312" w:hAnsi="仿宋_GB2312" w:eastAsia="仿宋_GB2312" w:cs="仿宋_GB2312"/>
          <w:snapToGrid w:val="0"/>
          <w:color w:val="000000"/>
          <w:sz w:val="32"/>
          <w:szCs w:val="32"/>
        </w:rPr>
        <w:t>亿元、地方政府专项债券转贷收入</w:t>
      </w:r>
      <w:r>
        <w:rPr>
          <w:rFonts w:hint="eastAsia" w:ascii="仿宋_GB2312" w:hAnsi="仿宋_GB2312" w:eastAsia="仿宋_GB2312" w:cs="仿宋_GB2312"/>
          <w:snapToGrid w:val="0"/>
          <w:color w:val="000000"/>
          <w:sz w:val="32"/>
          <w:szCs w:val="32"/>
          <w:lang w:val="en-US" w:eastAsia="zh-CN"/>
        </w:rPr>
        <w:t>9.93</w:t>
      </w:r>
      <w:r>
        <w:rPr>
          <w:rFonts w:hint="eastAsia" w:ascii="仿宋_GB2312" w:hAnsi="仿宋_GB2312" w:eastAsia="仿宋_GB2312" w:cs="仿宋_GB2312"/>
          <w:snapToGrid w:val="0"/>
          <w:color w:val="000000"/>
          <w:sz w:val="32"/>
          <w:szCs w:val="32"/>
        </w:rPr>
        <w:t>亿元、上年结余</w:t>
      </w:r>
      <w:r>
        <w:rPr>
          <w:rFonts w:hint="eastAsia" w:ascii="仿宋_GB2312" w:hAnsi="仿宋_GB2312" w:eastAsia="仿宋_GB2312" w:cs="仿宋_GB2312"/>
          <w:snapToGrid w:val="0"/>
          <w:color w:val="000000"/>
          <w:sz w:val="32"/>
          <w:szCs w:val="32"/>
          <w:lang w:val="en-US" w:eastAsia="zh-CN"/>
        </w:rPr>
        <w:t>0.29</w:t>
      </w:r>
      <w:r>
        <w:rPr>
          <w:rFonts w:hint="eastAsia" w:ascii="仿宋_GB2312" w:hAnsi="仿宋_GB2312" w:eastAsia="仿宋_GB2312" w:cs="仿宋_GB2312"/>
          <w:snapToGrid w:val="0"/>
          <w:color w:val="000000"/>
          <w:sz w:val="32"/>
          <w:szCs w:val="32"/>
        </w:rPr>
        <w:t>亿元，收入合计</w:t>
      </w:r>
      <w:r>
        <w:rPr>
          <w:rFonts w:hint="eastAsia" w:ascii="仿宋_GB2312" w:hAnsi="仿宋_GB2312" w:eastAsia="仿宋_GB2312" w:cs="仿宋_GB2312"/>
          <w:snapToGrid w:val="0"/>
          <w:color w:val="000000"/>
          <w:sz w:val="32"/>
          <w:szCs w:val="32"/>
          <w:lang w:val="en-US" w:eastAsia="zh-CN"/>
        </w:rPr>
        <w:t>36.10</w:t>
      </w:r>
      <w:r>
        <w:rPr>
          <w:rFonts w:hint="eastAsia" w:ascii="仿宋_GB2312" w:hAnsi="仿宋_GB2312" w:eastAsia="仿宋_GB2312" w:cs="仿宋_GB2312"/>
          <w:snapToGrid w:val="0"/>
          <w:color w:val="000000"/>
          <w:sz w:val="32"/>
          <w:szCs w:val="32"/>
        </w:rPr>
        <w:t>亿元。政府性基金预算支出完成</w:t>
      </w:r>
      <w:r>
        <w:rPr>
          <w:rFonts w:hint="eastAsia" w:ascii="仿宋_GB2312" w:hAnsi="仿宋_GB2312" w:eastAsia="仿宋_GB2312" w:cs="仿宋_GB2312"/>
          <w:snapToGrid w:val="0"/>
          <w:color w:val="000000"/>
          <w:sz w:val="32"/>
          <w:szCs w:val="32"/>
          <w:lang w:val="en-US" w:eastAsia="zh-CN"/>
        </w:rPr>
        <w:t>34.46</w:t>
      </w:r>
      <w:r>
        <w:rPr>
          <w:rFonts w:hint="eastAsia" w:ascii="仿宋_GB2312" w:hAnsi="仿宋_GB2312" w:eastAsia="仿宋_GB2312" w:cs="仿宋_GB2312"/>
          <w:snapToGrid w:val="0"/>
          <w:color w:val="000000"/>
          <w:sz w:val="32"/>
          <w:szCs w:val="32"/>
        </w:rPr>
        <w:t>亿元，上解上级支出</w:t>
      </w:r>
      <w:r>
        <w:rPr>
          <w:rFonts w:hint="eastAsia" w:ascii="仿宋_GB2312" w:hAnsi="仿宋_GB2312" w:eastAsia="仿宋_GB2312" w:cs="仿宋_GB2312"/>
          <w:snapToGrid w:val="0"/>
          <w:color w:val="000000"/>
          <w:sz w:val="32"/>
          <w:szCs w:val="32"/>
          <w:lang w:val="en-US" w:eastAsia="zh-CN"/>
        </w:rPr>
        <w:t>0.64</w:t>
      </w:r>
      <w:r>
        <w:rPr>
          <w:rFonts w:hint="eastAsia" w:ascii="仿宋_GB2312" w:hAnsi="仿宋_GB2312" w:eastAsia="仿宋_GB2312" w:cs="仿宋_GB2312"/>
          <w:snapToGrid w:val="0"/>
          <w:color w:val="000000"/>
          <w:sz w:val="32"/>
          <w:szCs w:val="32"/>
        </w:rPr>
        <w:t>亿元</w:t>
      </w:r>
      <w:r>
        <w:rPr>
          <w:rFonts w:hint="eastAsia" w:ascii="仿宋_GB2312" w:hAnsi="仿宋_GB2312" w:eastAsia="仿宋_GB2312" w:cs="仿宋_GB2312"/>
          <w:snapToGrid w:val="0"/>
          <w:color w:val="000000"/>
          <w:sz w:val="32"/>
          <w:szCs w:val="32"/>
          <w:lang w:val="en-US" w:eastAsia="zh-CN"/>
        </w:rPr>
        <w:t>,</w:t>
      </w:r>
      <w:r>
        <w:rPr>
          <w:rFonts w:hint="eastAsia" w:ascii="仿宋_GB2312" w:hAnsi="仿宋_GB2312" w:eastAsia="仿宋_GB2312" w:cs="仿宋_GB2312"/>
          <w:snapToGrid w:val="0"/>
          <w:color w:val="000000"/>
          <w:sz w:val="32"/>
          <w:szCs w:val="32"/>
        </w:rPr>
        <w:t>调出资金</w:t>
      </w:r>
      <w:r>
        <w:rPr>
          <w:rFonts w:hint="eastAsia" w:ascii="仿宋_GB2312" w:hAnsi="仿宋_GB2312" w:eastAsia="仿宋_GB2312" w:cs="仿宋_GB2312"/>
          <w:snapToGrid w:val="0"/>
          <w:color w:val="000000"/>
          <w:sz w:val="32"/>
          <w:szCs w:val="32"/>
          <w:lang w:val="en-US" w:eastAsia="zh-CN"/>
        </w:rPr>
        <w:t>1</w:t>
      </w:r>
      <w:r>
        <w:rPr>
          <w:rFonts w:hint="eastAsia" w:ascii="仿宋_GB2312" w:hAnsi="仿宋_GB2312" w:eastAsia="仿宋_GB2312" w:cs="仿宋_GB2312"/>
          <w:snapToGrid w:val="0"/>
          <w:color w:val="000000"/>
          <w:sz w:val="32"/>
          <w:szCs w:val="32"/>
        </w:rPr>
        <w:t>亿元，支出合计</w:t>
      </w:r>
      <w:r>
        <w:rPr>
          <w:rFonts w:hint="eastAsia" w:ascii="仿宋_GB2312" w:hAnsi="仿宋_GB2312" w:eastAsia="仿宋_GB2312" w:cs="仿宋_GB2312"/>
          <w:snapToGrid w:val="0"/>
          <w:color w:val="000000"/>
          <w:sz w:val="32"/>
          <w:szCs w:val="32"/>
          <w:lang w:val="en-US" w:eastAsia="zh-CN"/>
        </w:rPr>
        <w:t>36.10</w:t>
      </w:r>
      <w:r>
        <w:rPr>
          <w:rFonts w:hint="eastAsia" w:ascii="仿宋_GB2312" w:hAnsi="仿宋_GB2312" w:eastAsia="仿宋_GB2312" w:cs="仿宋_GB2312"/>
          <w:snapToGrid w:val="0"/>
          <w:color w:val="000000"/>
          <w:sz w:val="32"/>
          <w:szCs w:val="32"/>
        </w:rPr>
        <w:t>亿元。</w:t>
      </w:r>
    </w:p>
    <w:p>
      <w:pPr>
        <w:pageBreakBefore w:val="0"/>
        <w:kinsoku/>
        <w:wordWrap/>
        <w:topLinePunct w:val="0"/>
        <w:autoSpaceDE/>
        <w:autoSpaceDN/>
        <w:bidi w:val="0"/>
        <w:adjustRightInd/>
        <w:snapToGrid/>
        <w:spacing w:line="560" w:lineRule="exact"/>
        <w:ind w:firstLine="640" w:firstLineChars="200"/>
        <w:jc w:val="both"/>
        <w:outlineLvl w:val="2"/>
        <w:rPr>
          <w:rFonts w:hint="eastAsia" w:ascii="仿宋_GB2312" w:hAnsi="仿宋_GB2312" w:eastAsia="仿宋_GB2312" w:cs="仿宋_GB2312"/>
          <w:snapToGrid w:val="0"/>
          <w:color w:val="000000"/>
          <w:sz w:val="32"/>
          <w:szCs w:val="32"/>
        </w:rPr>
      </w:pPr>
      <w:r>
        <w:rPr>
          <w:rFonts w:hint="default" w:ascii="Times New Roman" w:hAnsi="Times New Roman" w:eastAsia="楷体_GB2312" w:cs="Times New Roman"/>
          <w:snapToGrid w:val="0"/>
          <w:color w:val="000000"/>
          <w:sz w:val="32"/>
          <w:szCs w:val="32"/>
        </w:rPr>
        <w:t>3.国有资本经营预算。</w:t>
      </w:r>
      <w:r>
        <w:rPr>
          <w:rFonts w:hint="eastAsia" w:ascii="仿宋_GB2312" w:hAnsi="仿宋_GB2312" w:eastAsia="仿宋_GB2312" w:cs="仿宋_GB2312"/>
          <w:snapToGrid w:val="0"/>
          <w:color w:val="000000"/>
          <w:sz w:val="32"/>
          <w:szCs w:val="32"/>
        </w:rPr>
        <w:t>全区国有资本经营预算收入完成</w:t>
      </w:r>
      <w:r>
        <w:rPr>
          <w:rFonts w:hint="eastAsia" w:ascii="仿宋_GB2312" w:hAnsi="仿宋_GB2312" w:eastAsia="仿宋_GB2312" w:cs="仿宋_GB2312"/>
          <w:snapToGrid w:val="0"/>
          <w:color w:val="000000"/>
          <w:sz w:val="32"/>
          <w:szCs w:val="32"/>
          <w:lang w:val="en-US" w:eastAsia="zh-CN"/>
        </w:rPr>
        <w:t>0.24</w:t>
      </w:r>
      <w:r>
        <w:rPr>
          <w:rFonts w:hint="eastAsia" w:ascii="仿宋_GB2312" w:hAnsi="仿宋_GB2312" w:eastAsia="仿宋_GB2312" w:cs="仿宋_GB2312"/>
          <w:snapToGrid w:val="0"/>
          <w:color w:val="000000"/>
          <w:sz w:val="32"/>
          <w:szCs w:val="32"/>
        </w:rPr>
        <w:t>亿元。国有资本经营预算支出完成</w:t>
      </w:r>
      <w:r>
        <w:rPr>
          <w:rFonts w:hint="eastAsia" w:ascii="仿宋_GB2312" w:hAnsi="仿宋_GB2312" w:eastAsia="仿宋_GB2312" w:cs="仿宋_GB2312"/>
          <w:snapToGrid w:val="0"/>
          <w:color w:val="000000"/>
          <w:sz w:val="32"/>
          <w:szCs w:val="32"/>
          <w:lang w:val="en-US" w:eastAsia="zh-CN"/>
        </w:rPr>
        <w:t>0.03</w:t>
      </w:r>
      <w:r>
        <w:rPr>
          <w:rFonts w:hint="eastAsia" w:ascii="仿宋_GB2312" w:hAnsi="仿宋_GB2312" w:eastAsia="仿宋_GB2312" w:cs="仿宋_GB2312"/>
          <w:snapToGrid w:val="0"/>
          <w:color w:val="000000"/>
          <w:sz w:val="32"/>
          <w:szCs w:val="32"/>
        </w:rPr>
        <w:t>亿元，调出资金</w:t>
      </w:r>
      <w:r>
        <w:rPr>
          <w:rFonts w:hint="eastAsia" w:ascii="仿宋_GB2312" w:hAnsi="仿宋_GB2312" w:eastAsia="仿宋_GB2312" w:cs="仿宋_GB2312"/>
          <w:snapToGrid w:val="0"/>
          <w:color w:val="000000"/>
          <w:sz w:val="32"/>
          <w:szCs w:val="32"/>
          <w:lang w:val="en-US" w:eastAsia="zh-CN"/>
        </w:rPr>
        <w:t>0.21</w:t>
      </w:r>
      <w:r>
        <w:rPr>
          <w:rFonts w:hint="eastAsia" w:ascii="仿宋_GB2312" w:hAnsi="仿宋_GB2312" w:eastAsia="仿宋_GB2312" w:cs="仿宋_GB2312"/>
          <w:snapToGrid w:val="0"/>
          <w:color w:val="000000"/>
          <w:sz w:val="32"/>
          <w:szCs w:val="32"/>
        </w:rPr>
        <w:t>亿元，支出合计</w:t>
      </w:r>
      <w:r>
        <w:rPr>
          <w:rFonts w:hint="eastAsia" w:ascii="仿宋_GB2312" w:hAnsi="仿宋_GB2312" w:eastAsia="仿宋_GB2312" w:cs="仿宋_GB2312"/>
          <w:snapToGrid w:val="0"/>
          <w:color w:val="000000"/>
          <w:sz w:val="32"/>
          <w:szCs w:val="32"/>
          <w:lang w:val="en-US" w:eastAsia="zh-CN"/>
        </w:rPr>
        <w:t>0.24</w:t>
      </w:r>
      <w:r>
        <w:rPr>
          <w:rFonts w:hint="eastAsia" w:ascii="仿宋_GB2312" w:hAnsi="仿宋_GB2312" w:eastAsia="仿宋_GB2312" w:cs="仿宋_GB2312"/>
          <w:snapToGrid w:val="0"/>
          <w:color w:val="000000"/>
          <w:sz w:val="32"/>
          <w:szCs w:val="32"/>
        </w:rPr>
        <w:t>亿元。</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4.社会保险基金预算。</w:t>
      </w:r>
      <w:r>
        <w:rPr>
          <w:rFonts w:hint="default" w:ascii="Times New Roman" w:hAnsi="Times New Roman" w:eastAsia="方正仿宋简体" w:cs="Times New Roman"/>
          <w:snapToGrid w:val="0"/>
          <w:color w:val="000000"/>
          <w:sz w:val="32"/>
          <w:szCs w:val="32"/>
        </w:rPr>
        <w:t>全区社会保险基金预算收入完成</w:t>
      </w:r>
      <w:r>
        <w:rPr>
          <w:rFonts w:hint="default" w:ascii="Times New Roman" w:hAnsi="Times New Roman" w:eastAsia="方正仿宋简体" w:cs="Times New Roman"/>
          <w:snapToGrid w:val="0"/>
          <w:color w:val="000000"/>
          <w:sz w:val="32"/>
          <w:szCs w:val="32"/>
          <w:lang w:val="en-US" w:eastAsia="zh-CN"/>
        </w:rPr>
        <w:t>2.41</w:t>
      </w:r>
      <w:r>
        <w:rPr>
          <w:rFonts w:hint="default" w:ascii="Times New Roman" w:hAnsi="Times New Roman" w:eastAsia="方正仿宋简体" w:cs="Times New Roman"/>
          <w:snapToGrid w:val="0"/>
          <w:color w:val="000000"/>
          <w:sz w:val="32"/>
          <w:szCs w:val="32"/>
        </w:rPr>
        <w:t>亿元，上年结余</w:t>
      </w:r>
      <w:r>
        <w:rPr>
          <w:rFonts w:hint="default" w:ascii="Times New Roman" w:hAnsi="Times New Roman" w:eastAsia="方正仿宋简体" w:cs="Times New Roman"/>
          <w:snapToGrid w:val="0"/>
          <w:color w:val="000000"/>
          <w:sz w:val="32"/>
          <w:szCs w:val="32"/>
          <w:lang w:val="en-US" w:eastAsia="zh-CN"/>
        </w:rPr>
        <w:t>5.06</w:t>
      </w:r>
      <w:r>
        <w:rPr>
          <w:rFonts w:hint="default" w:ascii="Times New Roman" w:hAnsi="Times New Roman" w:eastAsia="方正仿宋简体" w:cs="Times New Roman"/>
          <w:snapToGrid w:val="0"/>
          <w:color w:val="000000"/>
          <w:sz w:val="32"/>
          <w:szCs w:val="32"/>
        </w:rPr>
        <w:t>亿元，收入合计</w:t>
      </w:r>
      <w:r>
        <w:rPr>
          <w:rFonts w:hint="default" w:ascii="Times New Roman" w:hAnsi="Times New Roman" w:eastAsia="方正仿宋简体" w:cs="Times New Roman"/>
          <w:snapToGrid w:val="0"/>
          <w:color w:val="000000"/>
          <w:sz w:val="32"/>
          <w:szCs w:val="32"/>
          <w:lang w:val="en-US" w:eastAsia="zh-CN"/>
        </w:rPr>
        <w:t>7.47</w:t>
      </w:r>
      <w:r>
        <w:rPr>
          <w:rFonts w:hint="default" w:ascii="Times New Roman" w:hAnsi="Times New Roman" w:eastAsia="方正仿宋简体" w:cs="Times New Roman"/>
          <w:snapToGrid w:val="0"/>
          <w:color w:val="000000"/>
          <w:sz w:val="32"/>
          <w:szCs w:val="32"/>
        </w:rPr>
        <w:t>亿元。社会保险基金预算支出完成</w:t>
      </w:r>
      <w:r>
        <w:rPr>
          <w:rFonts w:hint="default" w:ascii="Times New Roman" w:hAnsi="Times New Roman" w:eastAsia="方正仿宋简体" w:cs="Times New Roman"/>
          <w:snapToGrid w:val="0"/>
          <w:color w:val="000000"/>
          <w:sz w:val="32"/>
          <w:szCs w:val="32"/>
          <w:lang w:val="en-US" w:eastAsia="zh-CN"/>
        </w:rPr>
        <w:t>1.37</w:t>
      </w:r>
      <w:r>
        <w:rPr>
          <w:rFonts w:hint="default" w:ascii="Times New Roman" w:hAnsi="Times New Roman" w:eastAsia="方正仿宋简体" w:cs="Times New Roman"/>
          <w:snapToGrid w:val="0"/>
          <w:color w:val="000000"/>
          <w:sz w:val="32"/>
          <w:szCs w:val="32"/>
        </w:rPr>
        <w:t>亿元，滚存结余</w:t>
      </w:r>
      <w:r>
        <w:rPr>
          <w:rFonts w:hint="default" w:ascii="Times New Roman" w:hAnsi="Times New Roman" w:eastAsia="方正仿宋简体" w:cs="Times New Roman"/>
          <w:snapToGrid w:val="0"/>
          <w:color w:val="000000"/>
          <w:sz w:val="32"/>
          <w:szCs w:val="32"/>
          <w:lang w:val="en-US" w:eastAsia="zh-CN"/>
        </w:rPr>
        <w:t>6.1</w:t>
      </w:r>
      <w:r>
        <w:rPr>
          <w:rFonts w:hint="eastAsia" w:ascii="Times New Roman" w:hAnsi="Times New Roman" w:eastAsia="方正仿宋简体" w:cs="Times New Roman"/>
          <w:snapToGrid w:val="0"/>
          <w:color w:val="000000"/>
          <w:sz w:val="32"/>
          <w:szCs w:val="32"/>
          <w:lang w:val="en-US" w:eastAsia="zh-CN"/>
        </w:rPr>
        <w:t>0</w:t>
      </w:r>
      <w:r>
        <w:rPr>
          <w:rFonts w:hint="default" w:ascii="Times New Roman" w:hAnsi="Times New Roman" w:eastAsia="方正仿宋简体" w:cs="Times New Roman"/>
          <w:snapToGrid w:val="0"/>
          <w:color w:val="000000"/>
          <w:sz w:val="32"/>
          <w:szCs w:val="32"/>
        </w:rPr>
        <w:t>亿元。</w:t>
      </w:r>
    </w:p>
    <w:p>
      <w:pPr>
        <w:pageBreakBefore w:val="0"/>
        <w:kinsoku/>
        <w:wordWrap/>
        <w:topLinePunct w:val="0"/>
        <w:autoSpaceDE/>
        <w:autoSpaceDN/>
        <w:bidi w:val="0"/>
        <w:adjustRightInd/>
        <w:snapToGrid/>
        <w:spacing w:line="560" w:lineRule="exact"/>
        <w:ind w:firstLine="640" w:firstLineChars="200"/>
        <w:jc w:val="both"/>
        <w:rPr>
          <w:rFonts w:hint="default" w:ascii="Times New Roman" w:hAnsi="Times New Roman" w:eastAsia="方正仿宋简体" w:cs="Times New Roman"/>
          <w:snapToGrid w:val="0"/>
          <w:color w:val="000000"/>
          <w:sz w:val="32"/>
          <w:szCs w:val="32"/>
        </w:rPr>
      </w:pPr>
      <w:r>
        <w:rPr>
          <w:rFonts w:hint="default" w:ascii="Times New Roman" w:hAnsi="Times New Roman" w:eastAsia="方正仿宋简体" w:cs="Times New Roman"/>
          <w:snapToGrid w:val="0"/>
          <w:color w:val="000000"/>
          <w:sz w:val="32"/>
          <w:szCs w:val="32"/>
        </w:rPr>
        <w:t>上述预算执行数字在决算编制汇总后，会有部分变化。</w:t>
      </w:r>
    </w:p>
    <w:p>
      <w:pPr>
        <w:pageBreakBefore w:val="0"/>
        <w:kinsoku/>
        <w:wordWrap/>
        <w:topLinePunct w:val="0"/>
        <w:autoSpaceDE/>
        <w:autoSpaceDN/>
        <w:bidi w:val="0"/>
        <w:adjustRightInd/>
        <w:snapToGrid/>
        <w:spacing w:line="560" w:lineRule="exact"/>
        <w:ind w:firstLine="640" w:firstLineChars="200"/>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（二）2021年财政重点工作开展情况</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z w:val="32"/>
          <w:szCs w:val="32"/>
        </w:rPr>
      </w:pPr>
      <w:r>
        <w:rPr>
          <w:rFonts w:hint="default" w:ascii="Times New Roman" w:hAnsi="Times New Roman" w:eastAsia="楷体_GB2312" w:cs="Times New Roman"/>
          <w:snapToGrid w:val="0"/>
          <w:color w:val="000000"/>
          <w:sz w:val="32"/>
          <w:szCs w:val="32"/>
        </w:rPr>
        <w:t>1.优化财政收支结构，支持保障和改善民生。</w:t>
      </w:r>
      <w:r>
        <w:rPr>
          <w:rFonts w:hint="default" w:ascii="Times New Roman" w:hAnsi="Times New Roman" w:eastAsia="方正仿宋简体" w:cs="Times New Roman"/>
          <w:sz w:val="32"/>
          <w:szCs w:val="32"/>
        </w:rPr>
        <w:t>坚持量入为出、有保有压，聚焦增进民生福祉，合理调度财政资金，重点保障基本民生等领域支出。全区投入民生支出达</w:t>
      </w:r>
      <w:r>
        <w:rPr>
          <w:rFonts w:hint="eastAsia" w:ascii="Times New Roman" w:hAnsi="Times New Roman" w:eastAsia="方正仿宋简体" w:cs="Times New Roman"/>
          <w:sz w:val="32"/>
          <w:szCs w:val="32"/>
          <w:lang w:val="en-US" w:eastAsia="zh-CN"/>
        </w:rPr>
        <w:t>30.40</w:t>
      </w:r>
      <w:r>
        <w:rPr>
          <w:rFonts w:hint="default" w:ascii="Times New Roman" w:hAnsi="Times New Roman" w:eastAsia="方正仿宋简体" w:cs="Times New Roman"/>
          <w:sz w:val="32"/>
          <w:szCs w:val="32"/>
        </w:rPr>
        <w:t>亿元，占财政总支出的</w:t>
      </w:r>
      <w:r>
        <w:rPr>
          <w:rFonts w:hint="eastAsia" w:ascii="Times New Roman" w:hAnsi="Times New Roman" w:eastAsia="方正仿宋简体" w:cs="Times New Roman"/>
          <w:sz w:val="32"/>
          <w:szCs w:val="32"/>
          <w:lang w:val="en-US" w:eastAsia="zh-CN"/>
        </w:rPr>
        <w:t>85.3</w:t>
      </w:r>
      <w:r>
        <w:rPr>
          <w:rFonts w:hint="default" w:ascii="Times New Roman" w:hAnsi="Times New Roman" w:eastAsia="方正仿宋简体" w:cs="Times New Roman"/>
          <w:sz w:val="32"/>
          <w:szCs w:val="32"/>
        </w:rPr>
        <w:t>%，推动33项民生工程任务有序完成，惠民实效日益彰显。持续加大教育投入，全面落实城乡义务教育经费保障机制，统筹拨付</w:t>
      </w:r>
      <w:r>
        <w:rPr>
          <w:rFonts w:hint="eastAsia" w:ascii="Times New Roman" w:hAnsi="Times New Roman" w:eastAsia="方正仿宋简体" w:cs="Times New Roman"/>
          <w:sz w:val="32"/>
          <w:szCs w:val="32"/>
          <w:lang w:val="en-US" w:eastAsia="zh-CN"/>
        </w:rPr>
        <w:t>10.89</w:t>
      </w:r>
      <w:r>
        <w:rPr>
          <w:rFonts w:hint="default" w:ascii="Times New Roman" w:hAnsi="Times New Roman" w:eastAsia="方正仿宋简体" w:cs="Times New Roman"/>
          <w:sz w:val="32"/>
          <w:szCs w:val="32"/>
        </w:rPr>
        <w:t>亿元，支持学前教育、基础教育普及发展，推动职业教育高质量发展，认真落实学生资助政策。加强公共文化事业建设投入，支持农村文化建设，推进图书馆、文化馆及乡镇综合文化站免费开放。加强财政资金统筹，推动基本公共卫生服务和医药体制综合改革补助标准进一步提高，支持实施健康脱贫工程和社保兜底脱贫工程，落实城乡低保、城乡医疗救助、孤儿基本生活保障、特困人员救助供养等专项救助制度，增强人民群众获得感幸福感安全感。</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color w:val="000000"/>
          <w:sz w:val="32"/>
          <w:szCs w:val="32"/>
        </w:rPr>
      </w:pPr>
      <w:r>
        <w:rPr>
          <w:rFonts w:hint="default" w:ascii="Times New Roman" w:hAnsi="Times New Roman" w:eastAsia="楷体_GB2312" w:cs="Times New Roman"/>
          <w:snapToGrid w:val="0"/>
          <w:color w:val="000000"/>
          <w:sz w:val="32"/>
          <w:szCs w:val="32"/>
        </w:rPr>
        <w:t>2.支持壮大实体经济，促进经济高质量发展。</w:t>
      </w:r>
      <w:r>
        <w:rPr>
          <w:rFonts w:hint="default" w:ascii="Times New Roman" w:hAnsi="Times New Roman" w:eastAsia="方正仿宋简体" w:cs="Times New Roman"/>
          <w:color w:val="000000"/>
          <w:sz w:val="32"/>
          <w:szCs w:val="32"/>
        </w:rPr>
        <w:t>综合运用财政贴息、产业引导、融资担保等，为企业纾困解难。全面落实减税降费政策，及时兑付产业奖补政策，切实降低企业生产经营成本，提升市场主体活力。出台《颍东区财政贴息降低企业融资成本实施方案》，企业综合融资成本降低1个百分点以上。引导政府性融资担保机构更好发挥支小支农作用</w:t>
      </w:r>
      <w:r>
        <w:rPr>
          <w:rFonts w:hint="default" w:ascii="Times New Roman" w:hAnsi="Times New Roman" w:eastAsia="方正仿宋简体" w:cs="Times New Roman"/>
          <w:color w:val="auto"/>
          <w:sz w:val="32"/>
          <w:szCs w:val="32"/>
        </w:rPr>
        <w:t>，推动平均担保费率降至</w:t>
      </w: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%，促进“4321”新型政银担业务新增</w:t>
      </w:r>
      <w:r>
        <w:rPr>
          <w:rFonts w:hint="default" w:ascii="Times New Roman" w:hAnsi="Times New Roman" w:eastAsia="方正仿宋简体" w:cs="Times New Roman"/>
          <w:color w:val="auto"/>
          <w:sz w:val="32"/>
          <w:szCs w:val="32"/>
          <w:lang w:val="en-US" w:eastAsia="zh-CN"/>
        </w:rPr>
        <w:t>1</w:t>
      </w:r>
      <w:r>
        <w:rPr>
          <w:rFonts w:hint="eastAsia" w:ascii="Times New Roman" w:hAnsi="Times New Roman" w:eastAsia="方正仿宋简体" w:cs="Times New Roman"/>
          <w:color w:val="auto"/>
          <w:sz w:val="32"/>
          <w:szCs w:val="32"/>
          <w:lang w:val="en-US" w:eastAsia="zh-CN"/>
        </w:rPr>
        <w:t>6</w:t>
      </w:r>
      <w:r>
        <w:rPr>
          <w:rFonts w:hint="default" w:ascii="Times New Roman" w:hAnsi="Times New Roman" w:eastAsia="方正仿宋简体" w:cs="Times New Roman"/>
          <w:color w:val="auto"/>
          <w:sz w:val="32"/>
          <w:szCs w:val="32"/>
          <w:lang w:val="en-US" w:eastAsia="zh-CN"/>
        </w:rPr>
        <w:t>.4</w:t>
      </w:r>
      <w:r>
        <w:rPr>
          <w:rFonts w:hint="eastAsia" w:ascii="Times New Roman" w:hAnsi="Times New Roman" w:eastAsia="方正仿宋简体" w:cs="Times New Roman"/>
          <w:color w:val="auto"/>
          <w:sz w:val="32"/>
          <w:szCs w:val="32"/>
          <w:lang w:val="en-US" w:eastAsia="zh-CN"/>
        </w:rPr>
        <w:t>0</w:t>
      </w:r>
      <w:r>
        <w:rPr>
          <w:rFonts w:hint="default" w:ascii="Times New Roman" w:hAnsi="Times New Roman" w:eastAsia="方正仿宋简体" w:cs="Times New Roman"/>
          <w:color w:val="auto"/>
          <w:sz w:val="32"/>
          <w:szCs w:val="32"/>
        </w:rPr>
        <w:t>亿元，发放政府性“续贷过桥”资金</w:t>
      </w:r>
      <w:r>
        <w:rPr>
          <w:rFonts w:hint="eastAsia" w:ascii="Times New Roman" w:hAnsi="Times New Roman" w:eastAsia="方正仿宋简体" w:cs="Times New Roman"/>
          <w:color w:val="auto"/>
          <w:sz w:val="32"/>
          <w:szCs w:val="32"/>
          <w:lang w:val="en-US" w:eastAsia="zh-CN"/>
        </w:rPr>
        <w:t>2.60</w:t>
      </w:r>
      <w:r>
        <w:rPr>
          <w:rFonts w:hint="default" w:ascii="Times New Roman" w:hAnsi="Times New Roman" w:eastAsia="方正仿宋简体" w:cs="Times New Roman"/>
          <w:color w:val="auto"/>
          <w:sz w:val="32"/>
          <w:szCs w:val="32"/>
        </w:rPr>
        <w:t>亿元</w:t>
      </w:r>
      <w:r>
        <w:rPr>
          <w:rFonts w:hint="eastAsia" w:ascii="Times New Roman" w:hAnsi="Times New Roman" w:eastAsia="方正仿宋简体" w:cs="Times New Roman"/>
          <w:color w:val="auto"/>
          <w:sz w:val="32"/>
          <w:szCs w:val="32"/>
          <w:lang w:eastAsia="zh-CN"/>
        </w:rPr>
        <w:t>以上</w:t>
      </w:r>
      <w:r>
        <w:rPr>
          <w:rFonts w:hint="default" w:ascii="Times New Roman" w:hAnsi="Times New Roman" w:eastAsia="方正仿宋简体" w:cs="Times New Roman"/>
          <w:color w:val="auto"/>
          <w:sz w:val="32"/>
          <w:szCs w:val="32"/>
        </w:rPr>
        <w:t>，进一步降低小微企业融资成本。常态化落实“四送一服”双千工程要求，持续开展“金融顾问”服务企业和“行长遍访市场主体”活动，推广“阜阳金服”平台注册应用，提供“一站式”金融服务，</w:t>
      </w:r>
      <w:r>
        <w:rPr>
          <w:rFonts w:hint="default" w:ascii="Times New Roman" w:hAnsi="Times New Roman" w:eastAsia="方正仿宋简体" w:cs="Times New Roman"/>
          <w:color w:val="auto"/>
          <w:sz w:val="32"/>
          <w:szCs w:val="32"/>
          <w:lang w:eastAsia="zh-CN"/>
        </w:rPr>
        <w:t>全区</w:t>
      </w:r>
      <w:r>
        <w:rPr>
          <w:rFonts w:hint="default" w:ascii="Times New Roman" w:hAnsi="Times New Roman" w:eastAsia="方正仿宋简体" w:cs="Times New Roman"/>
          <w:color w:val="auto"/>
          <w:sz w:val="32"/>
          <w:szCs w:val="32"/>
          <w:lang w:val="en-US" w:eastAsia="zh-CN"/>
        </w:rPr>
        <w:t>2</w:t>
      </w:r>
      <w:r>
        <w:rPr>
          <w:rFonts w:hint="eastAsia" w:ascii="Times New Roman" w:hAnsi="Times New Roman" w:eastAsia="方正仿宋简体" w:cs="Times New Roman"/>
          <w:color w:val="auto"/>
          <w:sz w:val="32"/>
          <w:szCs w:val="32"/>
          <w:lang w:val="en-US" w:eastAsia="zh-CN"/>
        </w:rPr>
        <w:t>8</w:t>
      </w:r>
      <w:r>
        <w:rPr>
          <w:rFonts w:hint="default" w:ascii="Times New Roman" w:hAnsi="Times New Roman" w:eastAsia="方正仿宋简体" w:cs="Times New Roman"/>
          <w:color w:val="auto"/>
          <w:sz w:val="32"/>
          <w:szCs w:val="32"/>
          <w:lang w:val="en-US" w:eastAsia="zh-CN"/>
        </w:rPr>
        <w:t>36</w:t>
      </w:r>
      <w:r>
        <w:rPr>
          <w:rFonts w:hint="default" w:ascii="Times New Roman" w:hAnsi="Times New Roman" w:eastAsia="方正仿宋简体" w:cs="Times New Roman"/>
          <w:color w:val="auto"/>
          <w:sz w:val="32"/>
          <w:szCs w:val="32"/>
        </w:rPr>
        <w:t>家企业</w:t>
      </w:r>
      <w:r>
        <w:rPr>
          <w:rFonts w:hint="default" w:ascii="Times New Roman" w:hAnsi="Times New Roman" w:eastAsia="方正仿宋简体" w:cs="Times New Roman"/>
          <w:color w:val="auto"/>
          <w:sz w:val="32"/>
          <w:szCs w:val="32"/>
          <w:lang w:eastAsia="zh-CN"/>
        </w:rPr>
        <w:t>完成</w:t>
      </w:r>
      <w:r>
        <w:rPr>
          <w:rFonts w:hint="default" w:ascii="Times New Roman" w:hAnsi="Times New Roman" w:eastAsia="方正仿宋简体" w:cs="Times New Roman"/>
          <w:color w:val="auto"/>
          <w:sz w:val="32"/>
          <w:szCs w:val="32"/>
        </w:rPr>
        <w:t>平台注册，</w:t>
      </w:r>
      <w:r>
        <w:rPr>
          <w:rFonts w:hint="default" w:ascii="Times New Roman" w:hAnsi="Times New Roman" w:eastAsia="方正仿宋简体" w:cs="Times New Roman"/>
          <w:color w:val="auto"/>
          <w:sz w:val="32"/>
          <w:szCs w:val="32"/>
          <w:lang w:eastAsia="zh-CN"/>
        </w:rPr>
        <w:t>通过平台</w:t>
      </w:r>
      <w:r>
        <w:rPr>
          <w:rFonts w:hint="default" w:ascii="Times New Roman" w:hAnsi="Times New Roman" w:eastAsia="方正仿宋简体" w:cs="Times New Roman"/>
          <w:color w:val="auto"/>
          <w:sz w:val="32"/>
          <w:szCs w:val="32"/>
        </w:rPr>
        <w:t>发放贷款2.09亿元，进一步服务优化营商环境。</w:t>
      </w:r>
    </w:p>
    <w:p>
      <w:pPr>
        <w:pageBreakBefore w:val="0"/>
        <w:kinsoku/>
        <w:wordWrap/>
        <w:topLinePunct w:val="0"/>
        <w:autoSpaceDE/>
        <w:autoSpaceDN/>
        <w:bidi w:val="0"/>
        <w:adjustRightInd/>
        <w:snapToGrid/>
        <w:spacing w:line="560" w:lineRule="exact"/>
        <w:ind w:firstLine="640" w:firstLineChars="200"/>
        <w:jc w:val="both"/>
        <w:outlineLvl w:val="2"/>
        <w:rPr>
          <w:rStyle w:val="9"/>
          <w:rFonts w:hint="default" w:ascii="Times New Roman" w:hAnsi="Times New Roman" w:eastAsia="方正仿宋简体" w:cs="Times New Roman"/>
          <w:sz w:val="32"/>
          <w:szCs w:val="32"/>
          <w:lang w:bidi="ar-SA"/>
        </w:rPr>
      </w:pPr>
      <w:r>
        <w:rPr>
          <w:rFonts w:hint="default" w:ascii="Times New Roman" w:hAnsi="Times New Roman" w:eastAsia="楷体_GB2312" w:cs="Times New Roman"/>
          <w:snapToGrid w:val="0"/>
          <w:color w:val="000000"/>
          <w:sz w:val="32"/>
          <w:szCs w:val="32"/>
        </w:rPr>
        <w:t>3.服务乡村振兴战略，推动农业农村现代化。</w:t>
      </w:r>
      <w:r>
        <w:rPr>
          <w:rFonts w:hint="default" w:ascii="Times New Roman" w:hAnsi="Times New Roman" w:eastAsia="方正仿宋简体" w:cs="Times New Roman"/>
          <w:sz w:val="32"/>
          <w:szCs w:val="32"/>
        </w:rPr>
        <w:t>聚焦巩固拓展脱贫攻坚成果同乡村振兴有效衔接，调整土地出让收益城乡分配格局，保持财政政策和资金规模总体稳定。统筹安排财政衔接推进乡村振兴补助资金3.6</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rPr>
        <w:t>亿元，</w:t>
      </w:r>
      <w:r>
        <w:rPr>
          <w:rFonts w:hint="eastAsia" w:ascii="Times New Roman" w:hAnsi="Times New Roman" w:eastAsia="方正仿宋简体" w:cs="Times New Roman"/>
          <w:sz w:val="32"/>
          <w:szCs w:val="32"/>
          <w:lang w:eastAsia="zh-CN"/>
        </w:rPr>
        <w:t>实施有效衔接项目</w:t>
      </w:r>
      <w:r>
        <w:rPr>
          <w:rFonts w:hint="eastAsia" w:ascii="Times New Roman" w:hAnsi="Times New Roman" w:eastAsia="方正仿宋简体" w:cs="Times New Roman"/>
          <w:sz w:val="32"/>
          <w:szCs w:val="32"/>
          <w:lang w:val="en-US" w:eastAsia="zh-CN"/>
        </w:rPr>
        <w:t>149</w:t>
      </w:r>
      <w:r>
        <w:rPr>
          <w:rFonts w:hint="default" w:ascii="Times New Roman" w:hAnsi="Times New Roman" w:eastAsia="方正仿宋简体" w:cs="Times New Roman"/>
          <w:sz w:val="32"/>
          <w:szCs w:val="32"/>
        </w:rPr>
        <w:t>个。</w:t>
      </w:r>
      <w:r>
        <w:rPr>
          <w:rFonts w:hint="default" w:ascii="Times New Roman" w:hAnsi="Times New Roman" w:eastAsia="方正仿宋简体" w:cs="Times New Roman"/>
          <w:color w:val="auto"/>
          <w:sz w:val="32"/>
          <w:szCs w:val="32"/>
        </w:rPr>
        <w:t>统筹</w:t>
      </w:r>
      <w:r>
        <w:rPr>
          <w:rFonts w:hint="default" w:ascii="Times New Roman" w:hAnsi="Times New Roman" w:eastAsia="方正仿宋简体" w:cs="Times New Roman"/>
          <w:color w:val="auto"/>
          <w:sz w:val="32"/>
          <w:szCs w:val="32"/>
          <w:lang w:eastAsia="zh-CN"/>
        </w:rPr>
        <w:t>安排</w:t>
      </w:r>
      <w:r>
        <w:rPr>
          <w:rFonts w:hint="default" w:ascii="Times New Roman" w:hAnsi="Times New Roman" w:eastAsia="方正仿宋简体" w:cs="Times New Roman"/>
          <w:color w:val="auto"/>
          <w:sz w:val="32"/>
          <w:szCs w:val="32"/>
        </w:rPr>
        <w:t>资金</w:t>
      </w:r>
      <w:r>
        <w:rPr>
          <w:rFonts w:hint="eastAsia" w:ascii="Times New Roman" w:hAnsi="Times New Roman" w:eastAsia="方正仿宋简体" w:cs="Times New Roman"/>
          <w:color w:val="auto"/>
          <w:sz w:val="32"/>
          <w:szCs w:val="32"/>
          <w:lang w:val="en-US" w:eastAsia="zh-CN"/>
        </w:rPr>
        <w:t>0.</w:t>
      </w:r>
      <w:r>
        <w:rPr>
          <w:rFonts w:hint="default" w:ascii="Times New Roman" w:hAnsi="Times New Roman" w:eastAsia="方正仿宋简体" w:cs="Times New Roman"/>
          <w:color w:val="auto"/>
          <w:sz w:val="32"/>
          <w:szCs w:val="32"/>
          <w:lang w:val="en-US" w:eastAsia="zh-CN"/>
        </w:rPr>
        <w:t>66</w:t>
      </w:r>
      <w:r>
        <w:rPr>
          <w:rFonts w:hint="eastAsia" w:ascii="Times New Roman" w:hAnsi="Times New Roman" w:eastAsia="方正仿宋简体" w:cs="Times New Roman"/>
          <w:color w:val="auto"/>
          <w:sz w:val="32"/>
          <w:szCs w:val="32"/>
          <w:lang w:val="en-US" w:eastAsia="zh-CN"/>
        </w:rPr>
        <w:t>亿</w:t>
      </w:r>
      <w:r>
        <w:rPr>
          <w:rFonts w:hint="default" w:ascii="Times New Roman" w:hAnsi="Times New Roman" w:eastAsia="方正仿宋简体" w:cs="Times New Roman"/>
          <w:color w:val="auto"/>
          <w:sz w:val="32"/>
          <w:szCs w:val="32"/>
        </w:rPr>
        <w:t>元，支持美丽乡村5个省级中心村</w:t>
      </w:r>
      <w:r>
        <w:rPr>
          <w:rFonts w:hint="eastAsia"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7个区级中心村建设，支持</w:t>
      </w:r>
      <w:r>
        <w:rPr>
          <w:rFonts w:hint="default" w:ascii="Times New Roman" w:hAnsi="Times New Roman" w:eastAsia="方正仿宋简体" w:cs="Times New Roman"/>
          <w:color w:val="auto"/>
          <w:sz w:val="32"/>
          <w:szCs w:val="32"/>
          <w:lang w:val="en-US" w:eastAsia="zh-CN"/>
        </w:rPr>
        <w:t>14个村村</w:t>
      </w:r>
      <w:r>
        <w:rPr>
          <w:rFonts w:hint="default" w:ascii="Times New Roman" w:hAnsi="Times New Roman" w:eastAsia="方正仿宋简体" w:cs="Times New Roman"/>
          <w:color w:val="auto"/>
          <w:sz w:val="32"/>
          <w:szCs w:val="32"/>
        </w:rPr>
        <w:t>级集体经济发展，建成农村公益事业“一事一议</w:t>
      </w:r>
      <w:bookmarkStart w:id="0" w:name="_GoBack"/>
      <w:bookmarkEnd w:id="0"/>
      <w:r>
        <w:rPr>
          <w:rFonts w:hint="default" w:ascii="Times New Roman" w:hAnsi="Times New Roman" w:eastAsia="方正仿宋简体" w:cs="Times New Roman"/>
          <w:color w:val="auto"/>
          <w:sz w:val="32"/>
          <w:szCs w:val="32"/>
        </w:rPr>
        <w:t>”项目54个。</w:t>
      </w:r>
      <w:r>
        <w:rPr>
          <w:rFonts w:hint="default" w:ascii="Times New Roman" w:hAnsi="Times New Roman" w:eastAsia="方正仿宋简体" w:cs="Times New Roman"/>
          <w:color w:val="000000"/>
          <w:sz w:val="32"/>
          <w:szCs w:val="32"/>
        </w:rPr>
        <w:t>加强惠民惠农财政补贴资金“一卡通”管理，发放补贴资金</w:t>
      </w:r>
      <w:r>
        <w:rPr>
          <w:rFonts w:hint="default" w:ascii="Times New Roman" w:hAnsi="Times New Roman" w:eastAsia="方正仿宋简体" w:cs="Times New Roman"/>
          <w:color w:val="000000"/>
          <w:sz w:val="32"/>
          <w:szCs w:val="32"/>
          <w:lang w:val="en-US" w:eastAsia="zh-CN"/>
        </w:rPr>
        <w:t>3.22</w:t>
      </w:r>
      <w:r>
        <w:rPr>
          <w:rFonts w:hint="default" w:ascii="Times New Roman" w:hAnsi="Times New Roman" w:eastAsia="方正仿宋简体" w:cs="Times New Roman"/>
          <w:color w:val="000000"/>
          <w:sz w:val="32"/>
          <w:szCs w:val="32"/>
        </w:rPr>
        <w:t>亿元，惠及农户</w:t>
      </w:r>
      <w:r>
        <w:rPr>
          <w:rFonts w:hint="default" w:ascii="Times New Roman" w:hAnsi="Times New Roman" w:eastAsia="方正仿宋简体" w:cs="Times New Roman"/>
          <w:color w:val="000000"/>
          <w:sz w:val="32"/>
          <w:szCs w:val="32"/>
          <w:lang w:val="en-US" w:eastAsia="zh-CN"/>
        </w:rPr>
        <w:t>12.3</w:t>
      </w:r>
      <w:r>
        <w:rPr>
          <w:rFonts w:hint="default" w:ascii="Times New Roman" w:hAnsi="Times New Roman" w:eastAsia="方正仿宋简体" w:cs="Times New Roman"/>
          <w:color w:val="000000"/>
          <w:sz w:val="32"/>
          <w:szCs w:val="32"/>
        </w:rPr>
        <w:t>万户。持续做好特色</w:t>
      </w:r>
      <w:r>
        <w:rPr>
          <w:rFonts w:hint="default" w:ascii="Times New Roman" w:hAnsi="Times New Roman" w:eastAsia="方正仿宋简体" w:cs="Times New Roman"/>
          <w:color w:val="000000"/>
          <w:sz w:val="32"/>
          <w:szCs w:val="32"/>
          <w:lang w:eastAsia="zh-CN"/>
        </w:rPr>
        <w:t>农业保险</w:t>
      </w:r>
      <w:r>
        <w:rPr>
          <w:rFonts w:hint="default" w:ascii="Times New Roman" w:hAnsi="Times New Roman" w:eastAsia="方正仿宋简体" w:cs="Times New Roman"/>
          <w:color w:val="000000"/>
          <w:sz w:val="32"/>
          <w:szCs w:val="32"/>
        </w:rPr>
        <w:t>工作，积极开展三大</w:t>
      </w:r>
      <w:r>
        <w:rPr>
          <w:rFonts w:hint="default" w:ascii="Times New Roman" w:hAnsi="Times New Roman" w:eastAsia="方正仿宋简体" w:cs="Times New Roman"/>
          <w:color w:val="000000"/>
          <w:sz w:val="32"/>
          <w:szCs w:val="32"/>
          <w:lang w:eastAsia="zh-CN"/>
        </w:rPr>
        <w:t>粮食</w:t>
      </w:r>
      <w:r>
        <w:rPr>
          <w:rFonts w:hint="default" w:ascii="Times New Roman" w:hAnsi="Times New Roman" w:eastAsia="方正仿宋简体" w:cs="Times New Roman"/>
          <w:color w:val="000000"/>
          <w:sz w:val="32"/>
          <w:szCs w:val="32"/>
        </w:rPr>
        <w:t>作物完全成本</w:t>
      </w:r>
      <w:r>
        <w:rPr>
          <w:rFonts w:hint="default" w:ascii="Times New Roman" w:hAnsi="Times New Roman" w:eastAsia="方正仿宋简体" w:cs="Times New Roman"/>
          <w:sz w:val="32"/>
          <w:szCs w:val="32"/>
        </w:rPr>
        <w:t>和种植收入保险，扎实推进“防贫保”综合保险试点工作，农业保险稳步提标扩面。健全农村金融服务体系，建成农村金融服务室78个，实现乡镇银行机构网点全覆盖，深入推进“党建引领信用村建设”试点工作，累计用信金额4.28亿元。</w:t>
      </w:r>
    </w:p>
    <w:p>
      <w:pPr>
        <w:pageBreakBefore w:val="0"/>
        <w:kinsoku/>
        <w:wordWrap/>
        <w:topLinePunct w:val="0"/>
        <w:autoSpaceDE/>
        <w:autoSpaceDN/>
        <w:bidi w:val="0"/>
        <w:adjustRightInd/>
        <w:snapToGrid/>
        <w:spacing w:line="560" w:lineRule="exact"/>
        <w:ind w:firstLine="640" w:firstLineChars="200"/>
        <w:jc w:val="both"/>
        <w:rPr>
          <w:rFonts w:hint="default" w:ascii="Times New Roman" w:hAnsi="Times New Roman" w:eastAsia="方正仿宋简体" w:cs="Times New Roman"/>
          <w:sz w:val="32"/>
          <w:szCs w:val="32"/>
        </w:rPr>
      </w:pPr>
      <w:r>
        <w:rPr>
          <w:rFonts w:hint="default" w:ascii="Times New Roman" w:hAnsi="Times New Roman" w:eastAsia="楷体_GB2312" w:cs="Times New Roman"/>
          <w:snapToGrid w:val="0"/>
          <w:color w:val="000000"/>
          <w:sz w:val="32"/>
          <w:szCs w:val="32"/>
        </w:rPr>
        <w:t>4.推进财政国资改革，不断完善现代财政制度建设。</w:t>
      </w:r>
      <w:r>
        <w:rPr>
          <w:rFonts w:hint="default" w:ascii="Times New Roman" w:hAnsi="Times New Roman" w:eastAsia="方正仿宋简体" w:cs="Times New Roman"/>
          <w:sz w:val="32"/>
          <w:szCs w:val="32"/>
        </w:rPr>
        <w:t>纵深推进预算管理制度改革，推进预算管理一体化，提升预算管理信息化水平，全区120家独立核算单位全部完成上线执行。深化预算公开，开展预决算公开检查，扩大预算公开范围，细化公开内容，完善公开机制，增强预算透明度。硬化实化乡镇预算管理，严禁乡镇举债，推进乡镇国库集中支付全覆盖，完善乡镇财政资金安全支付管理制度。全面实施预算绩效管理，加强预算绩效制度建设，健全评价结果与预算安排挂钩机制，形成科学规范的项目资金分配使用激励约束机制，在全省“两项绩效评价”工作考核中位列“A”类。实施国企改革三年行动，全面完成区属国有企业公务用车改革任务，推进颍东区直党政机关和事业单位经营性国有资产集中统一监管改革，建立健全国有企业监管制度，推进现代企业制度建设，提升国有企业经济效益。</w:t>
      </w:r>
    </w:p>
    <w:p>
      <w:pPr>
        <w:pageBreakBefore w:val="0"/>
        <w:kinsoku/>
        <w:wordWrap/>
        <w:topLinePunct w:val="0"/>
        <w:autoSpaceDE/>
        <w:autoSpaceDN/>
        <w:bidi w:val="0"/>
        <w:adjustRightInd/>
        <w:snapToGrid/>
        <w:spacing w:line="560" w:lineRule="exact"/>
        <w:ind w:firstLine="640" w:firstLineChars="200"/>
        <w:jc w:val="both"/>
        <w:rPr>
          <w:rFonts w:hint="default" w:ascii="Times New Roman" w:hAnsi="Times New Roman" w:eastAsia="方正仿宋简体" w:cs="Times New Roman"/>
          <w:sz w:val="32"/>
          <w:szCs w:val="32"/>
          <w:highlight w:val="yellow"/>
        </w:rPr>
      </w:pPr>
      <w:r>
        <w:rPr>
          <w:rFonts w:hint="default" w:ascii="Times New Roman" w:hAnsi="Times New Roman" w:eastAsia="楷体_GB2312" w:cs="Times New Roman"/>
          <w:snapToGrid w:val="0"/>
          <w:color w:val="000000"/>
          <w:sz w:val="32"/>
          <w:szCs w:val="32"/>
        </w:rPr>
        <w:t>5.强化</w:t>
      </w:r>
      <w:r>
        <w:rPr>
          <w:rFonts w:hint="default" w:ascii="Times New Roman" w:hAnsi="Times New Roman" w:eastAsia="楷体_GB2312" w:cs="Times New Roman"/>
          <w:snapToGrid w:val="0"/>
          <w:color w:val="000000"/>
          <w:sz w:val="32"/>
          <w:szCs w:val="32"/>
          <w:lang w:eastAsia="zh-CN"/>
        </w:rPr>
        <w:t>财政</w:t>
      </w:r>
      <w:r>
        <w:rPr>
          <w:rFonts w:hint="default" w:ascii="Times New Roman" w:hAnsi="Times New Roman" w:eastAsia="楷体_GB2312" w:cs="Times New Roman"/>
          <w:snapToGrid w:val="0"/>
          <w:color w:val="000000"/>
          <w:sz w:val="32"/>
          <w:szCs w:val="32"/>
        </w:rPr>
        <w:t>风险防控，守住不发生系统性风险底线。</w:t>
      </w:r>
      <w:r>
        <w:rPr>
          <w:rFonts w:hint="default" w:ascii="Times New Roman" w:hAnsi="Times New Roman" w:eastAsia="方正仿宋简体" w:cs="Times New Roman"/>
          <w:sz w:val="32"/>
          <w:szCs w:val="32"/>
          <w:highlight w:val="none"/>
        </w:rPr>
        <w:t>健全债务管理制度，加强政府债务限额管理，建立政府债务预警监控和多部门沟通协调机制，严格规范政府举债融资行为，妥善化解隐性债务存量。2021年，政府负有偿还责任的债务余额81.15元，比经人大批准的限额84.27亿元低3.12亿元，其中一般债务20.55亿元，比限额低3.06亿元；专项债务60.60亿元，比限额低0.06亿元。加强地方金融行业监管，</w:t>
      </w:r>
      <w:r>
        <w:rPr>
          <w:rFonts w:hint="default" w:ascii="Times New Roman" w:hAnsi="Times New Roman" w:eastAsia="方正仿宋简体" w:cs="Times New Roman"/>
          <w:sz w:val="32"/>
          <w:szCs w:val="32"/>
          <w:highlight w:val="none"/>
          <w:lang w:eastAsia="zh-CN"/>
        </w:rPr>
        <w:t>对</w:t>
      </w:r>
      <w:r>
        <w:rPr>
          <w:rFonts w:hint="default" w:ascii="Times New Roman" w:hAnsi="Times New Roman" w:eastAsia="方正仿宋简体" w:cs="Times New Roman"/>
          <w:sz w:val="32"/>
          <w:szCs w:val="32"/>
          <w:highlight w:val="none"/>
        </w:rPr>
        <w:t>持牌金融机构</w:t>
      </w:r>
      <w:r>
        <w:rPr>
          <w:rFonts w:hint="default" w:ascii="Times New Roman" w:hAnsi="Times New Roman" w:eastAsia="方正仿宋简体" w:cs="Times New Roman"/>
          <w:sz w:val="32"/>
          <w:szCs w:val="32"/>
          <w:highlight w:val="none"/>
          <w:lang w:eastAsia="zh-CN"/>
        </w:rPr>
        <w:t>和</w:t>
      </w:r>
      <w:r>
        <w:rPr>
          <w:rFonts w:hint="default" w:ascii="Times New Roman" w:hAnsi="Times New Roman" w:eastAsia="方正仿宋简体" w:cs="Times New Roman"/>
          <w:sz w:val="32"/>
          <w:szCs w:val="32"/>
          <w:highlight w:val="none"/>
        </w:rPr>
        <w:t>84家“投资”类公司</w:t>
      </w:r>
      <w:r>
        <w:rPr>
          <w:rFonts w:hint="default" w:ascii="Times New Roman" w:hAnsi="Times New Roman" w:eastAsia="方正仿宋简体" w:cs="Times New Roman"/>
          <w:sz w:val="32"/>
          <w:szCs w:val="32"/>
          <w:highlight w:val="none"/>
          <w:lang w:eastAsia="zh-CN"/>
        </w:rPr>
        <w:t>进行</w:t>
      </w:r>
      <w:r>
        <w:rPr>
          <w:rFonts w:hint="default" w:ascii="Times New Roman" w:hAnsi="Times New Roman" w:eastAsia="方正仿宋简体" w:cs="Times New Roman"/>
          <w:sz w:val="32"/>
          <w:szCs w:val="32"/>
          <w:highlight w:val="none"/>
        </w:rPr>
        <w:t>现场检查</w:t>
      </w:r>
      <w:r>
        <w:rPr>
          <w:rFonts w:hint="default" w:ascii="Times New Roman" w:hAnsi="Times New Roman" w:eastAsia="方正仿宋简体" w:cs="Times New Roman"/>
          <w:sz w:val="32"/>
          <w:szCs w:val="32"/>
          <w:highlight w:val="none"/>
          <w:lang w:eastAsia="zh-CN"/>
        </w:rPr>
        <w:t>，开展</w:t>
      </w:r>
      <w:r>
        <w:rPr>
          <w:rFonts w:hint="default" w:ascii="Times New Roman" w:hAnsi="Times New Roman" w:eastAsia="方正仿宋简体" w:cs="Times New Roman"/>
          <w:sz w:val="32"/>
          <w:szCs w:val="32"/>
          <w:highlight w:val="none"/>
        </w:rPr>
        <w:t>非持牌机构从事非法金融活动专项整治行动</w:t>
      </w:r>
      <w:r>
        <w:rPr>
          <w:rFonts w:hint="default" w:ascii="Times New Roman" w:hAnsi="Times New Roman" w:eastAsia="方正仿宋简体" w:cs="Times New Roman"/>
          <w:sz w:val="32"/>
          <w:szCs w:val="32"/>
          <w:highlight w:val="none"/>
          <w:lang w:eastAsia="zh-CN"/>
        </w:rPr>
        <w:t>和</w:t>
      </w:r>
      <w:r>
        <w:rPr>
          <w:rFonts w:hint="default" w:ascii="Times New Roman" w:hAnsi="Times New Roman" w:eastAsia="方正仿宋简体" w:cs="Times New Roman"/>
          <w:sz w:val="32"/>
          <w:szCs w:val="32"/>
          <w:highlight w:val="none"/>
        </w:rPr>
        <w:t>金融风险防范集中宣传活动，</w:t>
      </w:r>
      <w:r>
        <w:rPr>
          <w:rFonts w:hint="default" w:ascii="Times New Roman" w:hAnsi="Times New Roman" w:eastAsia="方正仿宋简体" w:cs="Times New Roman"/>
          <w:sz w:val="32"/>
          <w:szCs w:val="32"/>
          <w:highlight w:val="none"/>
          <w:lang w:eastAsia="zh-CN"/>
        </w:rPr>
        <w:t>排查化解风险隐患，增强风险防范意识，</w:t>
      </w:r>
      <w:r>
        <w:rPr>
          <w:rFonts w:hint="default" w:ascii="Times New Roman" w:hAnsi="Times New Roman" w:eastAsia="方正仿宋简体" w:cs="Times New Roman"/>
          <w:sz w:val="32"/>
          <w:szCs w:val="32"/>
          <w:highlight w:val="none"/>
        </w:rPr>
        <w:t>牢牢守住不发生系统性风险的底线。</w:t>
      </w:r>
    </w:p>
    <w:p>
      <w:pPr>
        <w:pageBreakBefore w:val="0"/>
        <w:kinsoku/>
        <w:wordWrap/>
        <w:topLinePunct w:val="0"/>
        <w:autoSpaceDE/>
        <w:autoSpaceDN/>
        <w:bidi w:val="0"/>
        <w:adjustRightInd/>
        <w:snapToGrid/>
        <w:spacing w:line="560" w:lineRule="exact"/>
        <w:ind w:firstLine="640" w:firstLineChars="200"/>
        <w:jc w:val="both"/>
        <w:rPr>
          <w:rFonts w:hint="default" w:ascii="Times New Roman" w:hAnsi="Times New Roman" w:eastAsia="方正仿宋简体" w:cs="Times New Roman"/>
          <w:sz w:val="32"/>
          <w:szCs w:val="32"/>
        </w:rPr>
      </w:pPr>
      <w:r>
        <w:rPr>
          <w:rFonts w:hint="default" w:ascii="Times New Roman" w:hAnsi="Times New Roman" w:eastAsia="楷体_GB2312" w:cs="Times New Roman"/>
          <w:snapToGrid w:val="0"/>
          <w:color w:val="000000"/>
          <w:sz w:val="32"/>
          <w:szCs w:val="32"/>
        </w:rPr>
        <w:t>6.压实主体责任，党建引领发展成效显著。</w:t>
      </w:r>
      <w:r>
        <w:rPr>
          <w:rFonts w:hint="default" w:ascii="Times New Roman" w:hAnsi="Times New Roman" w:eastAsia="方正仿宋简体" w:cs="Times New Roman"/>
          <w:sz w:val="32"/>
          <w:szCs w:val="32"/>
        </w:rPr>
        <w:t>坚决贯彻新时代党的建设总要求，把党的政治建设摆在首位，增强“四个意识”，坚定“四个自信”，做到“两个维护”</w:t>
      </w:r>
      <w:r>
        <w:rPr>
          <w:rFonts w:hint="eastAsia"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扎实开展党史学习教育，新一轮深化“三个以案”警示教育，推动中央巡视反馈问题整改工作全面完成，扎实做好五届市委和五届区委巡察发现问题整改工作，统筹做好党风廉政工作、宣传工作、意识形态工作，力戒形式主义、官僚主义，以扎实行动和务实作风推动区委、区政府决策部署落地生根。</w:t>
      </w:r>
    </w:p>
    <w:p>
      <w:pPr>
        <w:pageBreakBefore w:val="0"/>
        <w:kinsoku/>
        <w:wordWrap/>
        <w:topLinePunct w:val="0"/>
        <w:autoSpaceDE/>
        <w:autoSpaceDN/>
        <w:bidi w:val="0"/>
        <w:adjustRightInd/>
        <w:snapToGrid/>
        <w:spacing w:line="560" w:lineRule="exact"/>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各位代表！</w:t>
      </w:r>
    </w:p>
    <w:p>
      <w:pPr>
        <w:pageBreakBefore w:val="0"/>
        <w:kinsoku/>
        <w:wordWrap/>
        <w:topLinePunct w:val="0"/>
        <w:autoSpaceDE/>
        <w:autoSpaceDN/>
        <w:bidi w:val="0"/>
        <w:adjustRightInd/>
        <w:snapToGrid/>
        <w:spacing w:line="560" w:lineRule="exact"/>
        <w:ind w:firstLine="640" w:firstLineChars="200"/>
        <w:jc w:val="both"/>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2021年，上述工作成绩的取得，是区委、区政府坚强领导的结果，是区人大与各位人大代表依法监督、区政协及各位政协委员民主监督的结果，是</w:t>
      </w:r>
      <w:r>
        <w:rPr>
          <w:rFonts w:hint="default" w:ascii="Times New Roman" w:hAnsi="Times New Roman" w:eastAsia="方正仿宋简体" w:cs="Times New Roman"/>
          <w:sz w:val="32"/>
          <w:szCs w:val="32"/>
          <w:lang w:eastAsia="zh-CN"/>
        </w:rPr>
        <w:t>全区</w:t>
      </w:r>
      <w:r>
        <w:rPr>
          <w:rFonts w:hint="default" w:ascii="Times New Roman" w:hAnsi="Times New Roman" w:eastAsia="方正仿宋简体" w:cs="Times New Roman"/>
          <w:sz w:val="32"/>
          <w:szCs w:val="32"/>
        </w:rPr>
        <w:t>上下攻坚克难、共同努力的结果。同时，我们也清醒地认识到，财政运行中还存在一些问题和短板。主要表现在：财政资金较为紧张，刚性支出需求较大，收支矛盾较为突出；全面绩效管理有待加强，绩效评价结果的运用不足，评价结果对预算单位的约束力</w:t>
      </w:r>
      <w:r>
        <w:rPr>
          <w:rFonts w:hint="eastAsia" w:ascii="Times New Roman" w:hAnsi="Times New Roman" w:eastAsia="方正仿宋简体" w:cs="Times New Roman"/>
          <w:sz w:val="32"/>
          <w:szCs w:val="32"/>
          <w:lang w:eastAsia="zh-CN"/>
        </w:rPr>
        <w:t>有待增强</w:t>
      </w:r>
      <w:r>
        <w:rPr>
          <w:rFonts w:hint="default" w:ascii="Times New Roman" w:hAnsi="Times New Roman" w:eastAsia="方正仿宋简体" w:cs="Times New Roman"/>
          <w:sz w:val="32"/>
          <w:szCs w:val="32"/>
        </w:rPr>
        <w:t>；政府债务风险等财政运行风险仍然存在。对此，我们将高度重视，在今后的工作中，采取切实有效措施逐项予以解决。</w:t>
      </w:r>
    </w:p>
    <w:p>
      <w:pPr>
        <w:pageBreakBefore w:val="0"/>
        <w:kinsoku/>
        <w:wordWrap/>
        <w:overflowPunct w:val="0"/>
        <w:topLinePunct w:val="0"/>
        <w:autoSpaceDE/>
        <w:autoSpaceDN/>
        <w:bidi w:val="0"/>
        <w:adjustRightInd/>
        <w:snapToGrid/>
        <w:spacing w:line="560" w:lineRule="exact"/>
        <w:jc w:val="center"/>
        <w:outlineLvl w:val="0"/>
        <w:rPr>
          <w:rFonts w:hint="default" w:ascii="Times New Roman" w:hAnsi="Times New Roman" w:eastAsia="黑体" w:cs="Times New Roman"/>
          <w:snapToGrid w:val="0"/>
          <w:color w:val="000000"/>
          <w:sz w:val="32"/>
          <w:szCs w:val="32"/>
        </w:rPr>
      </w:pPr>
      <w:r>
        <w:rPr>
          <w:rFonts w:hint="default" w:ascii="Times New Roman" w:hAnsi="Times New Roman" w:eastAsia="黑体" w:cs="Times New Roman"/>
          <w:snapToGrid w:val="0"/>
          <w:color w:val="000000"/>
          <w:sz w:val="32"/>
          <w:szCs w:val="32"/>
        </w:rPr>
        <w:t>三、2022年预算安排和重点工作</w:t>
      </w:r>
    </w:p>
    <w:p>
      <w:pPr>
        <w:pageBreakBefore w:val="0"/>
        <w:kinsoku/>
        <w:wordWrap/>
        <w:overflowPunct w:val="0"/>
        <w:topLinePunct w:val="0"/>
        <w:autoSpaceDE/>
        <w:autoSpaceDN/>
        <w:bidi w:val="0"/>
        <w:adjustRightInd/>
        <w:snapToGrid/>
        <w:spacing w:line="560" w:lineRule="exact"/>
        <w:ind w:firstLine="640" w:firstLineChars="200"/>
        <w:outlineLvl w:val="1"/>
        <w:rPr>
          <w:rFonts w:hint="default" w:ascii="Times New Roman" w:hAnsi="Times New Roman" w:eastAsia="黑体" w:cs="Times New Roman"/>
          <w:snapToGrid w:val="0"/>
          <w:sz w:val="32"/>
          <w:szCs w:val="32"/>
        </w:rPr>
      </w:pPr>
      <w:r>
        <w:rPr>
          <w:rFonts w:hint="default" w:ascii="Times New Roman" w:hAnsi="Times New Roman" w:eastAsia="黑体" w:cs="Times New Roman"/>
          <w:snapToGrid w:val="0"/>
          <w:sz w:val="32"/>
          <w:szCs w:val="32"/>
        </w:rPr>
        <w:t>（一）2022年预算编制指导思想和基本原则</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lang w:val="en-US" w:eastAsia="zh-CN"/>
        </w:rPr>
      </w:pPr>
      <w:r>
        <w:rPr>
          <w:rFonts w:hint="default" w:ascii="Times New Roman" w:hAnsi="Times New Roman" w:eastAsia="方正仿宋简体" w:cs="Times New Roman"/>
          <w:snapToGrid w:val="0"/>
          <w:color w:val="000000"/>
          <w:sz w:val="32"/>
          <w:szCs w:val="32"/>
          <w:lang w:val="en-US" w:eastAsia="zh-CN"/>
        </w:rPr>
        <w:t>指导思想：</w:t>
      </w:r>
      <w:r>
        <w:rPr>
          <w:rFonts w:hint="default" w:ascii="Times New Roman" w:hAnsi="Times New Roman" w:eastAsia="方正仿宋简体" w:cs="Times New Roman"/>
          <w:sz w:val="32"/>
          <w:szCs w:val="40"/>
        </w:rPr>
        <w:t>以习近平新时代中国特色社会主义思想为指导，全面贯彻党的十九大和十九届二中、三中、四中、五中</w:t>
      </w:r>
      <w:r>
        <w:rPr>
          <w:rFonts w:hint="default" w:ascii="Times New Roman" w:hAnsi="Times New Roman" w:eastAsia="方正仿宋简体" w:cs="Times New Roman"/>
          <w:sz w:val="32"/>
          <w:szCs w:val="40"/>
          <w:lang w:eastAsia="zh-CN"/>
        </w:rPr>
        <w:t>、六中</w:t>
      </w:r>
      <w:r>
        <w:rPr>
          <w:rFonts w:hint="default" w:ascii="Times New Roman" w:hAnsi="Times New Roman" w:eastAsia="方正仿宋简体" w:cs="Times New Roman"/>
          <w:sz w:val="32"/>
          <w:szCs w:val="40"/>
        </w:rPr>
        <w:t>全会精神，认真贯彻习近平总书记考察安徽重要讲话指示精神，全面落实中央、省、市、区经济工作会议决策部署，坚持</w:t>
      </w:r>
      <w:r>
        <w:rPr>
          <w:rFonts w:hint="default" w:ascii="Times New Roman" w:hAnsi="Times New Roman" w:eastAsia="方正仿宋简体" w:cs="Times New Roman"/>
          <w:sz w:val="32"/>
          <w:szCs w:val="40"/>
          <w:lang w:eastAsia="zh-CN"/>
        </w:rPr>
        <w:t>“稳字当头、</w:t>
      </w:r>
      <w:r>
        <w:rPr>
          <w:rFonts w:hint="default" w:ascii="Times New Roman" w:hAnsi="Times New Roman" w:eastAsia="方正仿宋简体" w:cs="Times New Roman"/>
          <w:sz w:val="32"/>
          <w:szCs w:val="40"/>
        </w:rPr>
        <w:t>稳中求进</w:t>
      </w:r>
      <w:r>
        <w:rPr>
          <w:rFonts w:hint="default" w:ascii="Times New Roman" w:hAnsi="Times New Roman" w:eastAsia="方正仿宋简体" w:cs="Times New Roman"/>
          <w:sz w:val="32"/>
          <w:szCs w:val="40"/>
          <w:lang w:eastAsia="zh-CN"/>
        </w:rPr>
        <w:t>”</w:t>
      </w:r>
      <w:r>
        <w:rPr>
          <w:rFonts w:hint="default" w:ascii="Times New Roman" w:hAnsi="Times New Roman" w:eastAsia="方正仿宋简体" w:cs="Times New Roman"/>
          <w:sz w:val="32"/>
          <w:szCs w:val="40"/>
        </w:rPr>
        <w:t>工作总基调，立足新发展阶段，贯彻新发展理念，构建新发展格局，以推动高质量发展为主题，以深化供给侧结构性改革为主线，以改革创新为根本动力，以满足人民日益增长的美好生活需要为根本目的，加强财政资源统筹，大力优化财政支出结构，增强重大战略任务财力保障</w:t>
      </w:r>
      <w:r>
        <w:rPr>
          <w:rFonts w:hint="eastAsia" w:ascii="Times New Roman" w:hAnsi="Times New Roman" w:eastAsia="方正仿宋简体" w:cs="Times New Roman"/>
          <w:sz w:val="32"/>
          <w:szCs w:val="40"/>
          <w:lang w:eastAsia="zh-CN"/>
        </w:rPr>
        <w:t>。</w:t>
      </w:r>
      <w:r>
        <w:rPr>
          <w:rFonts w:hint="default" w:ascii="Times New Roman" w:hAnsi="Times New Roman" w:eastAsia="方正仿宋简体" w:cs="Times New Roman"/>
          <w:sz w:val="32"/>
          <w:szCs w:val="40"/>
        </w:rPr>
        <w:t>严格贯彻预算法及其实施条例，强化预算约束和绩效管理，深化预算公开，</w:t>
      </w:r>
      <w:r>
        <w:rPr>
          <w:rFonts w:hint="eastAsia" w:ascii="Times New Roman" w:hAnsi="Times New Roman" w:eastAsia="方正仿宋简体" w:cs="Times New Roman"/>
          <w:sz w:val="32"/>
          <w:szCs w:val="40"/>
          <w:lang w:eastAsia="zh-CN"/>
        </w:rPr>
        <w:t>进一步健全</w:t>
      </w:r>
      <w:r>
        <w:rPr>
          <w:rFonts w:hint="default" w:ascii="Times New Roman" w:hAnsi="Times New Roman" w:eastAsia="方正仿宋简体" w:cs="Times New Roman"/>
          <w:sz w:val="32"/>
          <w:szCs w:val="40"/>
        </w:rPr>
        <w:t>标准科学、规范透明、约束有力的预算制度。</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lang w:val="en-US" w:eastAsia="zh-CN"/>
        </w:rPr>
      </w:pPr>
      <w:r>
        <w:rPr>
          <w:rFonts w:hint="default" w:ascii="Times New Roman" w:hAnsi="Times New Roman" w:eastAsia="方正仿宋简体" w:cs="Times New Roman"/>
          <w:snapToGrid w:val="0"/>
          <w:color w:val="000000"/>
          <w:sz w:val="32"/>
          <w:szCs w:val="32"/>
          <w:lang w:val="en-US" w:eastAsia="zh-CN"/>
        </w:rPr>
        <w:t>基本原则：</w:t>
      </w:r>
      <w:r>
        <w:rPr>
          <w:rFonts w:hint="default" w:ascii="Times New Roman" w:hAnsi="Times New Roman" w:eastAsia="方正仿宋简体" w:cs="Times New Roman"/>
          <w:b/>
          <w:bCs/>
          <w:sz w:val="32"/>
          <w:szCs w:val="40"/>
          <w:lang w:val="en-US" w:eastAsia="zh-CN"/>
        </w:rPr>
        <w:t>一是</w:t>
      </w:r>
      <w:r>
        <w:rPr>
          <w:rFonts w:hint="default" w:ascii="Times New Roman" w:hAnsi="Times New Roman" w:eastAsia="方正仿宋简体" w:cs="Times New Roman"/>
          <w:sz w:val="32"/>
          <w:szCs w:val="40"/>
        </w:rPr>
        <w:t>坚持系统观念</w:t>
      </w:r>
      <w:r>
        <w:rPr>
          <w:rFonts w:hint="default" w:ascii="Times New Roman" w:hAnsi="Times New Roman" w:eastAsia="方正仿宋简体" w:cs="Times New Roman"/>
          <w:sz w:val="32"/>
          <w:szCs w:val="40"/>
          <w:lang w:eastAsia="zh-CN"/>
        </w:rPr>
        <w:t>，</w:t>
      </w:r>
      <w:r>
        <w:rPr>
          <w:rFonts w:hint="default" w:ascii="Times New Roman" w:hAnsi="Times New Roman" w:eastAsia="方正仿宋简体" w:cs="Times New Roman"/>
          <w:sz w:val="32"/>
          <w:szCs w:val="40"/>
        </w:rPr>
        <w:t>巩固拓展疫情防控和经济社会发展成果，更好统筹发展和安全，扎实做好“六稳”工作、全面落实“六保”任务。</w:t>
      </w:r>
      <w:r>
        <w:rPr>
          <w:rFonts w:hint="default" w:ascii="Times New Roman" w:hAnsi="Times New Roman" w:eastAsia="方正仿宋简体" w:cs="Times New Roman"/>
          <w:b/>
          <w:bCs/>
          <w:sz w:val="32"/>
          <w:szCs w:val="40"/>
          <w:lang w:eastAsia="zh-CN"/>
        </w:rPr>
        <w:t>二是</w:t>
      </w:r>
      <w:r>
        <w:rPr>
          <w:rFonts w:hint="default" w:ascii="Times New Roman" w:hAnsi="Times New Roman" w:eastAsia="方正仿宋简体" w:cs="Times New Roman"/>
          <w:sz w:val="32"/>
          <w:szCs w:val="40"/>
        </w:rPr>
        <w:t>坚持“保重点、压一般、促统筹、提绩效”，提质增效、更可持续地实施积极财政政策</w:t>
      </w:r>
      <w:r>
        <w:rPr>
          <w:rFonts w:hint="default" w:ascii="Times New Roman" w:hAnsi="Times New Roman" w:eastAsia="方正仿宋简体" w:cs="Times New Roman"/>
          <w:sz w:val="32"/>
          <w:szCs w:val="40"/>
          <w:lang w:eastAsia="zh-CN"/>
        </w:rPr>
        <w:t>。</w:t>
      </w:r>
      <w:r>
        <w:rPr>
          <w:rFonts w:hint="default" w:ascii="Times New Roman" w:hAnsi="Times New Roman" w:eastAsia="方正仿宋简体" w:cs="Times New Roman"/>
          <w:b/>
          <w:bCs/>
          <w:sz w:val="32"/>
          <w:szCs w:val="40"/>
          <w:lang w:eastAsia="zh-CN"/>
        </w:rPr>
        <w:t>三是</w:t>
      </w:r>
      <w:r>
        <w:rPr>
          <w:rFonts w:hint="default" w:ascii="Times New Roman" w:hAnsi="Times New Roman" w:eastAsia="方正仿宋简体" w:cs="Times New Roman"/>
          <w:sz w:val="32"/>
          <w:szCs w:val="40"/>
        </w:rPr>
        <w:t>坚持用市场的逻辑谋事、资本的力量干事，创新财政预算方式，推进零基预算改革，更好地集中财力办大事</w:t>
      </w:r>
      <w:r>
        <w:rPr>
          <w:rFonts w:hint="default" w:ascii="Times New Roman" w:hAnsi="Times New Roman" w:eastAsia="方正仿宋简体" w:cs="Times New Roman"/>
          <w:sz w:val="32"/>
          <w:szCs w:val="40"/>
          <w:lang w:eastAsia="zh-CN"/>
        </w:rPr>
        <w:t>。</w:t>
      </w:r>
      <w:r>
        <w:rPr>
          <w:rFonts w:hint="default" w:ascii="Times New Roman" w:hAnsi="Times New Roman" w:eastAsia="方正仿宋简体" w:cs="Times New Roman"/>
          <w:b/>
          <w:bCs/>
          <w:sz w:val="32"/>
          <w:szCs w:val="40"/>
          <w:lang w:eastAsia="zh-CN"/>
        </w:rPr>
        <w:t>四是</w:t>
      </w:r>
      <w:r>
        <w:rPr>
          <w:rFonts w:hint="default" w:ascii="Times New Roman" w:hAnsi="Times New Roman" w:eastAsia="方正仿宋简体" w:cs="Times New Roman"/>
          <w:sz w:val="32"/>
          <w:szCs w:val="40"/>
        </w:rPr>
        <w:t>坚持艰苦奋斗、勤俭节约、精打细算，全面落实政府过紧日子要求</w:t>
      </w:r>
      <w:r>
        <w:rPr>
          <w:rFonts w:hint="default" w:ascii="Times New Roman" w:hAnsi="Times New Roman" w:eastAsia="方正仿宋简体" w:cs="Times New Roman"/>
          <w:sz w:val="32"/>
          <w:szCs w:val="40"/>
          <w:lang w:eastAsia="zh-CN"/>
        </w:rPr>
        <w:t>。</w:t>
      </w:r>
      <w:r>
        <w:rPr>
          <w:rFonts w:hint="default" w:ascii="Times New Roman" w:hAnsi="Times New Roman" w:eastAsia="方正仿宋简体" w:cs="Times New Roman"/>
          <w:b/>
          <w:bCs/>
          <w:sz w:val="32"/>
          <w:szCs w:val="40"/>
          <w:lang w:eastAsia="zh-CN"/>
        </w:rPr>
        <w:t>五是</w:t>
      </w:r>
      <w:r>
        <w:rPr>
          <w:rFonts w:hint="default" w:ascii="Times New Roman" w:hAnsi="Times New Roman" w:eastAsia="方正仿宋简体" w:cs="Times New Roman"/>
          <w:sz w:val="32"/>
          <w:szCs w:val="40"/>
        </w:rPr>
        <w:t>坚持量入为出，确保支出安排与事业发展需要和区级财力水平相适应、与区级财政事权相匹配</w:t>
      </w:r>
      <w:r>
        <w:rPr>
          <w:rFonts w:hint="default" w:ascii="Times New Roman" w:hAnsi="Times New Roman" w:eastAsia="方正仿宋简体" w:cs="Times New Roman"/>
          <w:sz w:val="32"/>
          <w:szCs w:val="40"/>
          <w:lang w:eastAsia="zh-CN"/>
        </w:rPr>
        <w:t>。</w:t>
      </w:r>
    </w:p>
    <w:p>
      <w:pPr>
        <w:pageBreakBefore w:val="0"/>
        <w:kinsoku/>
        <w:wordWrap/>
        <w:overflowPunct w:val="0"/>
        <w:topLinePunct w:val="0"/>
        <w:autoSpaceDE/>
        <w:autoSpaceDN/>
        <w:bidi w:val="0"/>
        <w:adjustRightInd/>
        <w:snapToGrid/>
        <w:spacing w:line="560" w:lineRule="exact"/>
        <w:ind w:firstLine="640" w:firstLineChars="200"/>
        <w:outlineLvl w:val="1"/>
        <w:rPr>
          <w:rFonts w:hint="default" w:ascii="Times New Roman" w:hAnsi="Times New Roman" w:eastAsia="黑体" w:cs="Times New Roman"/>
          <w:snapToGrid w:val="0"/>
          <w:sz w:val="32"/>
          <w:szCs w:val="32"/>
        </w:rPr>
      </w:pPr>
      <w:r>
        <w:rPr>
          <w:rFonts w:hint="default" w:ascii="Times New Roman" w:hAnsi="Times New Roman" w:eastAsia="黑体" w:cs="Times New Roman"/>
          <w:snapToGrid w:val="0"/>
          <w:sz w:val="32"/>
          <w:szCs w:val="32"/>
        </w:rPr>
        <w:t>（二）2022年全区四本预算收入和支出安排</w:t>
      </w:r>
    </w:p>
    <w:p>
      <w:pPr>
        <w:pageBreakBefore w:val="0"/>
        <w:kinsoku/>
        <w:wordWrap/>
        <w:overflowPunct w:val="0"/>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highlight w:val="none"/>
        </w:rPr>
      </w:pPr>
      <w:r>
        <w:rPr>
          <w:rFonts w:hint="default" w:ascii="Times New Roman" w:hAnsi="Times New Roman" w:eastAsia="楷体_GB2312" w:cs="Times New Roman"/>
          <w:snapToGrid w:val="0"/>
          <w:color w:val="000000"/>
          <w:sz w:val="32"/>
          <w:szCs w:val="32"/>
        </w:rPr>
        <w:t>1.一般公共预算。</w:t>
      </w:r>
      <w:r>
        <w:rPr>
          <w:rFonts w:hint="default" w:ascii="Times New Roman" w:hAnsi="Times New Roman" w:eastAsia="方正仿宋简体" w:cs="Times New Roman"/>
          <w:snapToGrid w:val="0"/>
          <w:color w:val="000000"/>
          <w:sz w:val="32"/>
          <w:szCs w:val="32"/>
          <w:highlight w:val="none"/>
        </w:rPr>
        <w:t>全区一般公共预算收入15.88亿元，上级补助收入16.45亿元、调入资金等2.53亿元，收入合计34.86亿元。全区一般公共预算支出安排31.9</w:t>
      </w:r>
      <w:r>
        <w:rPr>
          <w:rFonts w:hint="eastAsia" w:ascii="Times New Roman" w:hAnsi="Times New Roman" w:eastAsia="方正仿宋简体" w:cs="Times New Roman"/>
          <w:snapToGrid w:val="0"/>
          <w:color w:val="000000"/>
          <w:sz w:val="32"/>
          <w:szCs w:val="32"/>
          <w:highlight w:val="none"/>
          <w:lang w:val="en-US" w:eastAsia="zh-CN"/>
        </w:rPr>
        <w:t>0</w:t>
      </w:r>
      <w:r>
        <w:rPr>
          <w:rFonts w:hint="default" w:ascii="Times New Roman" w:hAnsi="Times New Roman" w:eastAsia="方正仿宋简体" w:cs="Times New Roman"/>
          <w:snapToGrid w:val="0"/>
          <w:color w:val="000000"/>
          <w:sz w:val="32"/>
          <w:szCs w:val="32"/>
          <w:highlight w:val="none"/>
        </w:rPr>
        <w:t>亿元，上解上级支出2.96亿元，支出合计34.86亿元。</w:t>
      </w:r>
    </w:p>
    <w:p>
      <w:pPr>
        <w:pageBreakBefore w:val="0"/>
        <w:kinsoku/>
        <w:wordWrap/>
        <w:overflowPunct w:val="0"/>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highlight w:val="none"/>
        </w:rPr>
      </w:pPr>
      <w:r>
        <w:rPr>
          <w:rFonts w:hint="default" w:ascii="Times New Roman" w:hAnsi="Times New Roman" w:eastAsia="楷体_GB2312" w:cs="Times New Roman"/>
          <w:snapToGrid w:val="0"/>
          <w:color w:val="000000"/>
          <w:sz w:val="32"/>
          <w:szCs w:val="32"/>
        </w:rPr>
        <w:t>2.政府性基金预算。</w:t>
      </w:r>
      <w:r>
        <w:rPr>
          <w:rFonts w:hint="default" w:ascii="Times New Roman" w:hAnsi="Times New Roman" w:eastAsia="方正仿宋简体" w:cs="Times New Roman"/>
          <w:snapToGrid w:val="0"/>
          <w:color w:val="000000"/>
          <w:sz w:val="32"/>
          <w:szCs w:val="32"/>
          <w:highlight w:val="none"/>
        </w:rPr>
        <w:t>全区政府性基金预算收入2亿元，上级补助收入等18.75亿元，收入合计20.75亿元。政府性基金预算支出安排18.45亿元，调出资金2.3</w:t>
      </w:r>
      <w:r>
        <w:rPr>
          <w:rFonts w:hint="eastAsia" w:ascii="Times New Roman" w:hAnsi="Times New Roman" w:eastAsia="方正仿宋简体" w:cs="Times New Roman"/>
          <w:snapToGrid w:val="0"/>
          <w:color w:val="000000"/>
          <w:sz w:val="32"/>
          <w:szCs w:val="32"/>
          <w:highlight w:val="none"/>
          <w:lang w:val="en-US" w:eastAsia="zh-CN"/>
        </w:rPr>
        <w:t>0</w:t>
      </w:r>
      <w:r>
        <w:rPr>
          <w:rFonts w:hint="default" w:ascii="Times New Roman" w:hAnsi="Times New Roman" w:eastAsia="方正仿宋简体" w:cs="Times New Roman"/>
          <w:snapToGrid w:val="0"/>
          <w:color w:val="000000"/>
          <w:sz w:val="32"/>
          <w:szCs w:val="32"/>
          <w:highlight w:val="none"/>
        </w:rPr>
        <w:t>亿元，支出合计20.75亿元。</w:t>
      </w:r>
    </w:p>
    <w:p>
      <w:pPr>
        <w:pageBreakBefore w:val="0"/>
        <w:kinsoku/>
        <w:wordWrap/>
        <w:overflowPunct w:val="0"/>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highlight w:val="none"/>
        </w:rPr>
      </w:pPr>
      <w:r>
        <w:rPr>
          <w:rFonts w:hint="default" w:ascii="Times New Roman" w:hAnsi="Times New Roman" w:eastAsia="楷体_GB2312" w:cs="Times New Roman"/>
          <w:snapToGrid w:val="0"/>
          <w:color w:val="000000"/>
          <w:sz w:val="32"/>
          <w:szCs w:val="32"/>
        </w:rPr>
        <w:t>3.国有资本经营预算。</w:t>
      </w:r>
      <w:r>
        <w:rPr>
          <w:rFonts w:hint="default" w:ascii="Times New Roman" w:hAnsi="Times New Roman" w:eastAsia="方正仿宋简体" w:cs="Times New Roman"/>
          <w:snapToGrid w:val="0"/>
          <w:color w:val="000000"/>
          <w:sz w:val="32"/>
          <w:szCs w:val="32"/>
          <w:highlight w:val="none"/>
        </w:rPr>
        <w:t>全区国有资本经营预算收入0.23亿元。调出资金0.23亿元，支出合计0.23亿元。</w:t>
      </w:r>
    </w:p>
    <w:p>
      <w:pPr>
        <w:pageBreakBefore w:val="0"/>
        <w:kinsoku/>
        <w:wordWrap/>
        <w:overflowPunct w:val="0"/>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4.社会保险基金预算。</w:t>
      </w:r>
      <w:r>
        <w:rPr>
          <w:rFonts w:hint="default" w:ascii="Times New Roman" w:hAnsi="Times New Roman" w:eastAsia="方正仿宋简体" w:cs="Times New Roman"/>
          <w:snapToGrid w:val="0"/>
          <w:color w:val="000000"/>
          <w:sz w:val="32"/>
          <w:szCs w:val="32"/>
        </w:rPr>
        <w:t>全区社会保险基金预算收入</w:t>
      </w:r>
      <w:r>
        <w:rPr>
          <w:rFonts w:hint="default" w:ascii="Times New Roman" w:hAnsi="Times New Roman" w:eastAsia="方正仿宋简体" w:cs="Times New Roman"/>
          <w:snapToGrid w:val="0"/>
          <w:color w:val="000000"/>
          <w:sz w:val="32"/>
          <w:szCs w:val="32"/>
          <w:lang w:val="en-US" w:eastAsia="zh-CN"/>
        </w:rPr>
        <w:t>2.6</w:t>
      </w:r>
      <w:r>
        <w:rPr>
          <w:rFonts w:hint="eastAsia" w:ascii="Times New Roman" w:hAnsi="Times New Roman" w:eastAsia="方正仿宋简体" w:cs="Times New Roman"/>
          <w:snapToGrid w:val="0"/>
          <w:color w:val="000000"/>
          <w:sz w:val="32"/>
          <w:szCs w:val="32"/>
          <w:lang w:val="en-US" w:eastAsia="zh-CN"/>
        </w:rPr>
        <w:t>0</w:t>
      </w:r>
      <w:r>
        <w:rPr>
          <w:rFonts w:hint="default" w:ascii="Times New Roman" w:hAnsi="Times New Roman" w:eastAsia="方正仿宋简体" w:cs="Times New Roman"/>
          <w:snapToGrid w:val="0"/>
          <w:color w:val="000000"/>
          <w:sz w:val="32"/>
          <w:szCs w:val="32"/>
        </w:rPr>
        <w:t>亿元，上年结余</w:t>
      </w:r>
      <w:r>
        <w:rPr>
          <w:rFonts w:hint="default" w:ascii="Times New Roman" w:hAnsi="Times New Roman" w:eastAsia="方正仿宋简体" w:cs="Times New Roman"/>
          <w:snapToGrid w:val="0"/>
          <w:color w:val="000000"/>
          <w:sz w:val="32"/>
          <w:szCs w:val="32"/>
          <w:lang w:val="en-US" w:eastAsia="zh-CN"/>
        </w:rPr>
        <w:t>6.1</w:t>
      </w:r>
      <w:r>
        <w:rPr>
          <w:rFonts w:hint="eastAsia" w:ascii="Times New Roman" w:hAnsi="Times New Roman" w:eastAsia="方正仿宋简体" w:cs="Times New Roman"/>
          <w:snapToGrid w:val="0"/>
          <w:color w:val="000000"/>
          <w:sz w:val="32"/>
          <w:szCs w:val="32"/>
          <w:lang w:val="en-US" w:eastAsia="zh-CN"/>
        </w:rPr>
        <w:t>0</w:t>
      </w:r>
      <w:r>
        <w:rPr>
          <w:rFonts w:hint="default" w:ascii="Times New Roman" w:hAnsi="Times New Roman" w:eastAsia="方正仿宋简体" w:cs="Times New Roman"/>
          <w:snapToGrid w:val="0"/>
          <w:color w:val="000000"/>
          <w:sz w:val="32"/>
          <w:szCs w:val="32"/>
        </w:rPr>
        <w:t>亿元，收入合计</w:t>
      </w:r>
      <w:r>
        <w:rPr>
          <w:rFonts w:hint="default" w:ascii="Times New Roman" w:hAnsi="Times New Roman" w:eastAsia="方正仿宋简体" w:cs="Times New Roman"/>
          <w:snapToGrid w:val="0"/>
          <w:color w:val="000000"/>
          <w:sz w:val="32"/>
          <w:szCs w:val="32"/>
          <w:lang w:val="en-US" w:eastAsia="zh-CN"/>
        </w:rPr>
        <w:t>8.7</w:t>
      </w:r>
      <w:r>
        <w:rPr>
          <w:rFonts w:hint="eastAsia" w:ascii="Times New Roman" w:hAnsi="Times New Roman" w:eastAsia="方正仿宋简体" w:cs="Times New Roman"/>
          <w:snapToGrid w:val="0"/>
          <w:color w:val="000000"/>
          <w:sz w:val="32"/>
          <w:szCs w:val="32"/>
          <w:lang w:val="en-US" w:eastAsia="zh-CN"/>
        </w:rPr>
        <w:t>0</w:t>
      </w:r>
      <w:r>
        <w:rPr>
          <w:rFonts w:hint="default" w:ascii="Times New Roman" w:hAnsi="Times New Roman" w:eastAsia="方正仿宋简体" w:cs="Times New Roman"/>
          <w:snapToGrid w:val="0"/>
          <w:color w:val="000000"/>
          <w:sz w:val="32"/>
          <w:szCs w:val="32"/>
        </w:rPr>
        <w:t>亿元。社会保险基金预算支出</w:t>
      </w:r>
      <w:r>
        <w:rPr>
          <w:rFonts w:hint="default" w:ascii="Times New Roman" w:hAnsi="Times New Roman" w:eastAsia="方正仿宋简体" w:cs="Times New Roman"/>
          <w:snapToGrid w:val="0"/>
          <w:color w:val="000000"/>
          <w:sz w:val="32"/>
          <w:szCs w:val="32"/>
          <w:lang w:val="en-US" w:eastAsia="zh-CN"/>
        </w:rPr>
        <w:t>1.5</w:t>
      </w:r>
      <w:r>
        <w:rPr>
          <w:rFonts w:hint="eastAsia" w:ascii="Times New Roman" w:hAnsi="Times New Roman" w:eastAsia="方正仿宋简体" w:cs="Times New Roman"/>
          <w:snapToGrid w:val="0"/>
          <w:color w:val="000000"/>
          <w:sz w:val="32"/>
          <w:szCs w:val="32"/>
          <w:lang w:val="en-US" w:eastAsia="zh-CN"/>
        </w:rPr>
        <w:t>0</w:t>
      </w:r>
      <w:r>
        <w:rPr>
          <w:rFonts w:hint="default" w:ascii="Times New Roman" w:hAnsi="Times New Roman" w:eastAsia="方正仿宋简体" w:cs="Times New Roman"/>
          <w:snapToGrid w:val="0"/>
          <w:color w:val="000000"/>
          <w:sz w:val="32"/>
          <w:szCs w:val="32"/>
        </w:rPr>
        <w:t>亿元，预计滚存结余</w:t>
      </w:r>
      <w:r>
        <w:rPr>
          <w:rFonts w:hint="default" w:ascii="Times New Roman" w:hAnsi="Times New Roman" w:eastAsia="方正仿宋简体" w:cs="Times New Roman"/>
          <w:snapToGrid w:val="0"/>
          <w:color w:val="000000"/>
          <w:sz w:val="32"/>
          <w:szCs w:val="32"/>
          <w:lang w:val="en-US" w:eastAsia="zh-CN"/>
        </w:rPr>
        <w:t>7.2</w:t>
      </w:r>
      <w:r>
        <w:rPr>
          <w:rFonts w:hint="eastAsia" w:ascii="Times New Roman" w:hAnsi="Times New Roman" w:eastAsia="方正仿宋简体" w:cs="Times New Roman"/>
          <w:snapToGrid w:val="0"/>
          <w:color w:val="000000"/>
          <w:sz w:val="32"/>
          <w:szCs w:val="32"/>
          <w:lang w:val="en-US" w:eastAsia="zh-CN"/>
        </w:rPr>
        <w:t>0</w:t>
      </w:r>
      <w:r>
        <w:rPr>
          <w:rFonts w:hint="default" w:ascii="Times New Roman" w:hAnsi="Times New Roman" w:eastAsia="方正仿宋简体" w:cs="Times New Roman"/>
          <w:snapToGrid w:val="0"/>
          <w:color w:val="000000"/>
          <w:sz w:val="32"/>
          <w:szCs w:val="32"/>
        </w:rPr>
        <w:t>亿元。</w:t>
      </w:r>
    </w:p>
    <w:p>
      <w:pPr>
        <w:pageBreakBefore w:val="0"/>
        <w:kinsoku/>
        <w:wordWrap/>
        <w:overflowPunct w:val="0"/>
        <w:topLinePunct w:val="0"/>
        <w:autoSpaceDE/>
        <w:autoSpaceDN/>
        <w:bidi w:val="0"/>
        <w:adjustRightInd/>
        <w:snapToGrid/>
        <w:spacing w:line="560" w:lineRule="exact"/>
        <w:ind w:firstLine="640" w:firstLineChars="200"/>
        <w:outlineLvl w:val="1"/>
        <w:rPr>
          <w:rFonts w:hint="default" w:ascii="Times New Roman" w:hAnsi="Times New Roman" w:eastAsia="黑体" w:cs="Times New Roman"/>
          <w:snapToGrid w:val="0"/>
          <w:sz w:val="32"/>
          <w:szCs w:val="32"/>
        </w:rPr>
      </w:pPr>
      <w:r>
        <w:rPr>
          <w:rFonts w:hint="default" w:ascii="Times New Roman" w:hAnsi="Times New Roman" w:eastAsia="黑体" w:cs="Times New Roman"/>
          <w:snapToGrid w:val="0"/>
          <w:sz w:val="32"/>
          <w:szCs w:val="32"/>
        </w:rPr>
        <w:t xml:space="preserve">（三）2022年财政重点工作 </w:t>
      </w:r>
    </w:p>
    <w:p>
      <w:pPr>
        <w:pStyle w:val="6"/>
        <w:pageBreakBefore w:val="0"/>
        <w:kinsoku/>
        <w:wordWrap/>
        <w:topLinePunct w:val="0"/>
        <w:autoSpaceDE/>
        <w:autoSpaceDN/>
        <w:bidi w:val="0"/>
        <w:adjustRightInd/>
        <w:snapToGrid/>
        <w:spacing w:before="0" w:beforeAutospacing="0" w:after="0" w:afterAutospacing="0" w:line="560" w:lineRule="exact"/>
        <w:ind w:firstLine="640"/>
        <w:jc w:val="both"/>
        <w:rPr>
          <w:rFonts w:hint="default" w:ascii="Times New Roman" w:hAnsi="Times New Roman" w:eastAsia="方正仿宋简体" w:cs="Times New Roman"/>
          <w:color w:val="000000"/>
          <w:sz w:val="32"/>
          <w:szCs w:val="32"/>
        </w:rPr>
      </w:pPr>
      <w:r>
        <w:rPr>
          <w:rFonts w:hint="default" w:ascii="Times New Roman" w:hAnsi="Times New Roman" w:eastAsia="方正仿宋简体" w:cs="Times New Roman"/>
          <w:color w:val="000000"/>
          <w:sz w:val="32"/>
          <w:szCs w:val="32"/>
        </w:rPr>
        <w:t>2022年是实施”十四五“规划的重要一年，做好预算编制和财政工作意义重大。区财政将坚定信心、鼓足干劲、克难攻坚，重点抓好以下几个方面工作，确保2022年财政各项工作任务顺利完成。</w:t>
      </w:r>
    </w:p>
    <w:p>
      <w:pPr>
        <w:pStyle w:val="6"/>
        <w:pageBreakBefore w:val="0"/>
        <w:kinsoku/>
        <w:wordWrap/>
        <w:topLinePunct w:val="0"/>
        <w:autoSpaceDE/>
        <w:autoSpaceDN/>
        <w:bidi w:val="0"/>
        <w:adjustRightInd/>
        <w:snapToGrid/>
        <w:spacing w:before="0" w:beforeAutospacing="0" w:after="0" w:afterAutospacing="0" w:line="560" w:lineRule="exact"/>
        <w:ind w:firstLine="640" w:firstLineChars="200"/>
        <w:jc w:val="both"/>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lang w:val="en-US" w:eastAsia="zh-CN" w:bidi="ar-SA"/>
        </w:rPr>
        <w:t>1.把好财政“收支关”，着力提升财政保障能力。</w:t>
      </w:r>
      <w:r>
        <w:rPr>
          <w:rFonts w:hint="default" w:ascii="Times New Roman" w:hAnsi="Times New Roman" w:eastAsia="方正仿宋简体" w:cs="Times New Roman"/>
          <w:snapToGrid w:val="0"/>
          <w:color w:val="000000"/>
          <w:sz w:val="32"/>
          <w:szCs w:val="32"/>
        </w:rPr>
        <w:t>围绕实现全年财政收入目标，</w:t>
      </w:r>
      <w:r>
        <w:rPr>
          <w:rFonts w:hint="default" w:ascii="Times New Roman" w:hAnsi="Times New Roman" w:eastAsia="方正仿宋简体" w:cs="Times New Roman"/>
          <w:color w:val="000000"/>
          <w:sz w:val="32"/>
          <w:szCs w:val="32"/>
        </w:rPr>
        <w:t>强化收入预期管理，</w:t>
      </w:r>
      <w:r>
        <w:rPr>
          <w:rFonts w:hint="default" w:ascii="Times New Roman" w:hAnsi="Times New Roman" w:eastAsia="方正仿宋简体" w:cs="Times New Roman"/>
          <w:snapToGrid w:val="0"/>
          <w:color w:val="000000"/>
          <w:sz w:val="32"/>
          <w:szCs w:val="32"/>
        </w:rPr>
        <w:t>紧盯财政政策，积极争取上级转移支付资金</w:t>
      </w:r>
      <w:r>
        <w:rPr>
          <w:rFonts w:hint="eastAsia" w:ascii="Times New Roman" w:hAnsi="Times New Roman" w:eastAsia="方正仿宋简体" w:cs="Times New Roman"/>
          <w:snapToGrid w:val="0"/>
          <w:color w:val="000000"/>
          <w:sz w:val="32"/>
          <w:szCs w:val="32"/>
          <w:lang w:eastAsia="zh-CN"/>
        </w:rPr>
        <w:t>。</w:t>
      </w:r>
      <w:r>
        <w:rPr>
          <w:rFonts w:hint="default" w:ascii="Times New Roman" w:hAnsi="Times New Roman" w:eastAsia="方正仿宋简体" w:cs="Times New Roman"/>
          <w:snapToGrid w:val="0"/>
          <w:color w:val="000000"/>
          <w:sz w:val="32"/>
          <w:szCs w:val="32"/>
        </w:rPr>
        <w:t>强化财政收入征管</w:t>
      </w:r>
      <w:r>
        <w:rPr>
          <w:rFonts w:hint="eastAsia" w:ascii="Times New Roman" w:hAnsi="Times New Roman" w:eastAsia="方正仿宋简体" w:cs="Times New Roman"/>
          <w:snapToGrid w:val="0"/>
          <w:color w:val="000000"/>
          <w:sz w:val="32"/>
          <w:szCs w:val="32"/>
          <w:lang w:eastAsia="zh-CN"/>
        </w:rPr>
        <w:t>，</w:t>
      </w:r>
      <w:r>
        <w:rPr>
          <w:rFonts w:hint="default" w:ascii="Times New Roman" w:hAnsi="Times New Roman" w:eastAsia="方正仿宋简体" w:cs="Times New Roman"/>
          <w:snapToGrid w:val="0"/>
          <w:color w:val="000000"/>
          <w:sz w:val="32"/>
          <w:szCs w:val="32"/>
        </w:rPr>
        <w:t>持续培育税收增长点，全力支持税务部门依规组织收入，积极挖掘非税收入增长潜力，落实落细减税降费政策，大力支持企业发展，夯实财源基础，做到财政收入有质量可持续。优化支出结构，落实积极的财政政策要提升效能，更加注重精准、可持续的要求，坚持保主保重保基原则，保证财政支出强度，加大对乡村振兴、社会保障、教育发展、医疗卫生、就业创业等重点领域的财力保障，兜牢兜实“三保”底线，强化重大决策部署、重点支出领域保障力度。加强预算执</w:t>
      </w:r>
      <w:r>
        <w:rPr>
          <w:rFonts w:hint="default" w:ascii="Times New Roman" w:hAnsi="Times New Roman" w:eastAsia="方正仿宋简体" w:cs="Times New Roman"/>
          <w:color w:val="000000"/>
          <w:sz w:val="32"/>
          <w:szCs w:val="32"/>
        </w:rPr>
        <w:t>行控制，严格执行内控制度，强化预算执行动态监控，全面压缩非刚性、非重点、非急需支出</w:t>
      </w:r>
      <w:r>
        <w:rPr>
          <w:rFonts w:hint="default" w:ascii="Times New Roman" w:hAnsi="Times New Roman" w:eastAsia="方正仿宋简体" w:cs="Times New Roman"/>
          <w:snapToGrid w:val="0"/>
          <w:color w:val="000000"/>
          <w:sz w:val="32"/>
          <w:szCs w:val="32"/>
        </w:rPr>
        <w:t>，</w:t>
      </w:r>
      <w:r>
        <w:rPr>
          <w:rFonts w:hint="default" w:ascii="Times New Roman" w:hAnsi="Times New Roman" w:eastAsia="方正仿宋简体" w:cs="Times New Roman"/>
          <w:snapToGrid w:val="0"/>
          <w:color w:val="000000"/>
          <w:sz w:val="32"/>
          <w:szCs w:val="32"/>
          <w:lang w:eastAsia="zh-CN"/>
        </w:rPr>
        <w:t>严控</w:t>
      </w:r>
      <w:r>
        <w:rPr>
          <w:rFonts w:hint="default" w:ascii="Times New Roman" w:hAnsi="Times New Roman" w:eastAsia="方正仿宋简体" w:cs="Times New Roman"/>
          <w:snapToGrid w:val="0"/>
          <w:color w:val="000000"/>
          <w:sz w:val="32"/>
          <w:szCs w:val="32"/>
        </w:rPr>
        <w:t>“三公”经费。</w:t>
      </w:r>
    </w:p>
    <w:p>
      <w:pPr>
        <w:pageBreakBefore w:val="0"/>
        <w:widowControl w:val="0"/>
        <w:kinsoku/>
        <w:wordWrap/>
        <w:topLinePunct w:val="0"/>
        <w:autoSpaceDE/>
        <w:autoSpaceDN/>
        <w:bidi w:val="0"/>
        <w:adjustRightInd/>
        <w:snapToGrid/>
        <w:spacing w:line="560" w:lineRule="exact"/>
        <w:ind w:firstLine="645"/>
        <w:jc w:val="both"/>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2.把好</w:t>
      </w:r>
      <w:r>
        <w:rPr>
          <w:rFonts w:hint="default" w:ascii="Times New Roman" w:hAnsi="Times New Roman" w:eastAsia="楷体_GB2312" w:cs="Times New Roman"/>
          <w:snapToGrid w:val="0"/>
          <w:color w:val="000000"/>
          <w:sz w:val="32"/>
          <w:szCs w:val="32"/>
          <w:lang w:eastAsia="zh-CN"/>
        </w:rPr>
        <w:t>政策“落实关”</w:t>
      </w:r>
      <w:r>
        <w:rPr>
          <w:rFonts w:hint="default" w:ascii="Times New Roman" w:hAnsi="Times New Roman" w:eastAsia="楷体_GB2312" w:cs="Times New Roman"/>
          <w:snapToGrid w:val="0"/>
          <w:color w:val="000000"/>
          <w:sz w:val="32"/>
          <w:szCs w:val="32"/>
        </w:rPr>
        <w:t>，着力提升服务</w:t>
      </w:r>
      <w:r>
        <w:rPr>
          <w:rFonts w:hint="default" w:ascii="Times New Roman" w:hAnsi="Times New Roman" w:eastAsia="楷体_GB2312" w:cs="Times New Roman"/>
          <w:snapToGrid w:val="0"/>
          <w:color w:val="000000"/>
          <w:sz w:val="32"/>
          <w:szCs w:val="32"/>
          <w:lang w:eastAsia="zh-CN"/>
        </w:rPr>
        <w:t>经济</w:t>
      </w:r>
      <w:r>
        <w:rPr>
          <w:rFonts w:hint="default" w:ascii="Times New Roman" w:hAnsi="Times New Roman" w:eastAsia="楷体_GB2312" w:cs="Times New Roman"/>
          <w:snapToGrid w:val="0"/>
          <w:color w:val="000000"/>
          <w:sz w:val="32"/>
          <w:szCs w:val="32"/>
        </w:rPr>
        <w:t>发展能力。</w:t>
      </w:r>
      <w:r>
        <w:rPr>
          <w:rFonts w:hint="default" w:ascii="Times New Roman" w:hAnsi="Times New Roman" w:eastAsia="方正仿宋简体" w:cs="Times New Roman"/>
          <w:snapToGrid w:val="0"/>
          <w:color w:val="000000"/>
          <w:sz w:val="32"/>
          <w:szCs w:val="32"/>
          <w:lang w:eastAsia="zh-CN"/>
        </w:rPr>
        <w:t>把握“稳字当头，稳中求进”的工作总基调，精准有效实施积极的财政政策，</w:t>
      </w:r>
      <w:r>
        <w:rPr>
          <w:rFonts w:hint="default" w:ascii="Times New Roman" w:hAnsi="Times New Roman" w:eastAsia="方正仿宋简体" w:cs="Times New Roman"/>
          <w:snapToGrid w:val="0"/>
          <w:color w:val="000000"/>
          <w:sz w:val="32"/>
          <w:szCs w:val="32"/>
        </w:rPr>
        <w:t>全面落实减税降费、优化营商环境和</w:t>
      </w:r>
      <w:r>
        <w:rPr>
          <w:rFonts w:hint="default" w:ascii="Times New Roman" w:hAnsi="Times New Roman" w:eastAsia="方正仿宋简体" w:cs="Times New Roman"/>
          <w:snapToGrid w:val="0"/>
          <w:color w:val="000000"/>
          <w:sz w:val="32"/>
          <w:szCs w:val="32"/>
          <w:lang w:eastAsia="zh-CN"/>
        </w:rPr>
        <w:t>“双招双引”</w:t>
      </w:r>
      <w:r>
        <w:rPr>
          <w:rFonts w:hint="default" w:ascii="Times New Roman" w:hAnsi="Times New Roman" w:eastAsia="方正仿宋简体" w:cs="Times New Roman"/>
          <w:snapToGrid w:val="0"/>
          <w:color w:val="000000"/>
          <w:sz w:val="32"/>
          <w:szCs w:val="32"/>
        </w:rPr>
        <w:t>政策，</w:t>
      </w:r>
      <w:r>
        <w:rPr>
          <w:rFonts w:hint="default" w:ascii="Times New Roman" w:hAnsi="Times New Roman" w:eastAsia="方正仿宋简体" w:cs="Times New Roman"/>
          <w:snapToGrid w:val="0"/>
          <w:color w:val="000000"/>
          <w:sz w:val="32"/>
          <w:szCs w:val="32"/>
          <w:lang w:eastAsia="zh-CN"/>
        </w:rPr>
        <w:t>统筹资产资源资金</w:t>
      </w:r>
      <w:r>
        <w:rPr>
          <w:rFonts w:hint="default" w:ascii="Times New Roman" w:hAnsi="Times New Roman" w:eastAsia="方正仿宋简体" w:cs="Times New Roman"/>
          <w:snapToGrid w:val="0"/>
          <w:color w:val="000000"/>
          <w:sz w:val="32"/>
          <w:szCs w:val="32"/>
        </w:rPr>
        <w:t>，用足用好</w:t>
      </w:r>
      <w:r>
        <w:rPr>
          <w:rFonts w:hint="default" w:ascii="Times New Roman" w:hAnsi="Times New Roman" w:eastAsia="方正仿宋简体" w:cs="Times New Roman"/>
          <w:snapToGrid w:val="0"/>
          <w:color w:val="000000"/>
          <w:sz w:val="32"/>
          <w:szCs w:val="32"/>
          <w:lang w:eastAsia="zh-CN"/>
        </w:rPr>
        <w:t>各项财税、金融政策</w:t>
      </w:r>
      <w:r>
        <w:rPr>
          <w:rFonts w:hint="default" w:ascii="Times New Roman" w:hAnsi="Times New Roman" w:eastAsia="方正仿宋简体" w:cs="Times New Roman"/>
          <w:snapToGrid w:val="0"/>
          <w:color w:val="000000"/>
          <w:sz w:val="32"/>
          <w:szCs w:val="32"/>
        </w:rPr>
        <w:t>，加大对重点领域、重大项目和薄弱环节的支持力度，</w:t>
      </w:r>
      <w:r>
        <w:rPr>
          <w:rFonts w:hint="default" w:ascii="Times New Roman" w:hAnsi="Times New Roman" w:eastAsia="方正仿宋简体" w:cs="Times New Roman"/>
          <w:snapToGrid w:val="0"/>
          <w:color w:val="000000"/>
          <w:sz w:val="32"/>
          <w:szCs w:val="32"/>
          <w:lang w:eastAsia="zh-CN"/>
        </w:rPr>
        <w:t>着力推动产业转型升级，服务经济高质量发展</w:t>
      </w:r>
      <w:r>
        <w:rPr>
          <w:rFonts w:hint="default" w:ascii="Times New Roman" w:hAnsi="Times New Roman" w:eastAsia="方正仿宋简体" w:cs="Times New Roman"/>
          <w:snapToGrid w:val="0"/>
          <w:color w:val="000000"/>
          <w:sz w:val="32"/>
          <w:szCs w:val="32"/>
        </w:rPr>
        <w:t>。推进政策性融资平台公司市场化转型，深入推进“4321”新型政银担、税融通等风险分担机制，加大对小微企业融资担保，拓展融资能力、扩大产业投资。持续开展帮扶企业和“四送一服双联”活动，及时兑付产业奖补政策，</w:t>
      </w:r>
      <w:r>
        <w:rPr>
          <w:rFonts w:hint="default" w:ascii="Times New Roman" w:hAnsi="Times New Roman" w:eastAsia="方正仿宋简体" w:cs="Times New Roman"/>
          <w:snapToGrid w:val="0"/>
          <w:color w:val="000000"/>
          <w:sz w:val="32"/>
          <w:szCs w:val="32"/>
          <w:lang w:eastAsia="zh-CN"/>
        </w:rPr>
        <w:t>助力民营经济发展</w:t>
      </w:r>
      <w:r>
        <w:rPr>
          <w:rFonts w:hint="default" w:ascii="Times New Roman" w:hAnsi="Times New Roman" w:eastAsia="方正仿宋简体" w:cs="Times New Roman"/>
          <w:snapToGrid w:val="0"/>
          <w:color w:val="000000"/>
          <w:sz w:val="32"/>
          <w:szCs w:val="32"/>
        </w:rPr>
        <w:t>。深入实施国企三年行动计划，全面加强国企党建工作，</w:t>
      </w:r>
      <w:r>
        <w:rPr>
          <w:rFonts w:hint="default" w:ascii="Times New Roman" w:hAnsi="Times New Roman" w:eastAsia="方正仿宋简体" w:cs="Times New Roman"/>
          <w:sz w:val="32"/>
          <w:szCs w:val="32"/>
        </w:rPr>
        <w:t>落实国有资产保值增值责任，</w:t>
      </w:r>
      <w:r>
        <w:rPr>
          <w:rFonts w:hint="default" w:ascii="Times New Roman" w:hAnsi="Times New Roman" w:eastAsia="方正仿宋简体" w:cs="Times New Roman"/>
          <w:snapToGrid w:val="0"/>
          <w:color w:val="000000"/>
          <w:sz w:val="32"/>
          <w:szCs w:val="32"/>
        </w:rPr>
        <w:t>建立健全国资监管系统，推动国有资本高质量发展。</w:t>
      </w:r>
    </w:p>
    <w:p>
      <w:pPr>
        <w:pStyle w:val="6"/>
        <w:pageBreakBefore w:val="0"/>
        <w:kinsoku/>
        <w:wordWrap/>
        <w:topLinePunct w:val="0"/>
        <w:autoSpaceDE/>
        <w:autoSpaceDN/>
        <w:bidi w:val="0"/>
        <w:adjustRightInd/>
        <w:snapToGrid/>
        <w:spacing w:before="0" w:beforeAutospacing="0" w:after="0" w:afterAutospacing="0" w:line="560" w:lineRule="exact"/>
        <w:ind w:firstLine="640" w:firstLineChars="200"/>
        <w:jc w:val="both"/>
        <w:rPr>
          <w:rFonts w:hint="default" w:ascii="Times New Roman" w:hAnsi="Times New Roman" w:eastAsia="方正仿宋简体" w:cs="Times New Roman"/>
          <w:sz w:val="32"/>
          <w:szCs w:val="32"/>
        </w:rPr>
      </w:pPr>
      <w:r>
        <w:rPr>
          <w:rFonts w:hint="default" w:ascii="Times New Roman" w:hAnsi="Times New Roman" w:eastAsia="楷体_GB2312" w:cs="Times New Roman"/>
          <w:snapToGrid w:val="0"/>
          <w:color w:val="000000"/>
          <w:sz w:val="32"/>
          <w:szCs w:val="32"/>
          <w:lang w:val="en-US" w:eastAsia="zh-CN" w:bidi="ar-SA"/>
        </w:rPr>
        <w:t>3.把好财政“绩效关”，着力提升财政治理能力</w:t>
      </w:r>
      <w:r>
        <w:rPr>
          <w:rFonts w:hint="default" w:ascii="Times New Roman" w:hAnsi="Times New Roman" w:eastAsia="方正仿宋简体" w:cs="Times New Roman"/>
          <w:snapToGrid w:val="0"/>
          <w:color w:val="000000"/>
          <w:sz w:val="32"/>
          <w:szCs w:val="32"/>
          <w:lang w:val="en-US" w:eastAsia="zh-CN" w:bidi="ar-SA"/>
        </w:rPr>
        <w:t>。</w:t>
      </w:r>
      <w:r>
        <w:rPr>
          <w:rFonts w:hint="default" w:ascii="Times New Roman" w:hAnsi="Times New Roman" w:eastAsia="方正仿宋简体" w:cs="Times New Roman"/>
          <w:color w:val="000000"/>
          <w:sz w:val="32"/>
          <w:szCs w:val="32"/>
        </w:rPr>
        <w:t>深化预算管理改革，坚持预算法定，大力推进财政支出标准化建设，强化全口径预算管理，强化预算一体化平台应用，深入推进预算信息公开。实施全面预算绩效管理改革，持续健全预算绩效评价体系，探讨项目实施前的项目评审，推进预算绩效评价前移，强化过程监督和结果应用，逐步实现事前、事中、事后的全过程预算绩效管理。完善财政管理体制，加快推进财政法制化规范化建设，</w:t>
      </w:r>
      <w:r>
        <w:rPr>
          <w:rFonts w:hint="default" w:ascii="Times New Roman" w:hAnsi="Times New Roman" w:eastAsia="方正仿宋简体" w:cs="Times New Roman"/>
          <w:sz w:val="32"/>
          <w:szCs w:val="32"/>
        </w:rPr>
        <w:t>继续开展“小金库”防治工作、组织民生工程资金检查、会计监督检查等专项资金检查，开展财政衔接推进乡村振兴补助资金专项检查，</w:t>
      </w:r>
      <w:r>
        <w:rPr>
          <w:rFonts w:hint="default" w:ascii="Times New Roman" w:hAnsi="Times New Roman" w:eastAsia="方正仿宋简体" w:cs="Times New Roman"/>
          <w:color w:val="000000"/>
          <w:sz w:val="32"/>
          <w:szCs w:val="32"/>
        </w:rPr>
        <w:t>严肃财经法纪，提升财政监督能力。</w:t>
      </w:r>
    </w:p>
    <w:p>
      <w:pPr>
        <w:pStyle w:val="6"/>
        <w:pageBreakBefore w:val="0"/>
        <w:kinsoku/>
        <w:wordWrap/>
        <w:topLinePunct w:val="0"/>
        <w:autoSpaceDE/>
        <w:autoSpaceDN/>
        <w:bidi w:val="0"/>
        <w:adjustRightInd/>
        <w:snapToGrid/>
        <w:spacing w:before="0" w:beforeAutospacing="0" w:after="0" w:afterAutospacing="0" w:line="560" w:lineRule="exact"/>
        <w:ind w:firstLine="640" w:firstLineChars="200"/>
        <w:jc w:val="both"/>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lang w:val="en-US" w:eastAsia="zh-CN" w:bidi="ar-SA"/>
        </w:rPr>
        <w:t>4.把好金融“风险关”，着力提升防风险能力。</w:t>
      </w:r>
      <w:r>
        <w:rPr>
          <w:rFonts w:hint="default" w:ascii="Times New Roman" w:hAnsi="Times New Roman" w:eastAsia="方正仿宋简体" w:cs="Times New Roman"/>
          <w:snapToGrid w:val="0"/>
          <w:color w:val="000000"/>
          <w:sz w:val="32"/>
          <w:szCs w:val="32"/>
        </w:rPr>
        <w:t>防范</w:t>
      </w:r>
      <w:r>
        <w:rPr>
          <w:rFonts w:hint="default" w:ascii="Times New Roman" w:hAnsi="Times New Roman" w:eastAsia="方正仿宋简体" w:cs="Times New Roman"/>
          <w:snapToGrid w:val="0"/>
          <w:color w:val="000000"/>
          <w:sz w:val="32"/>
          <w:szCs w:val="32"/>
          <w:lang w:eastAsia="zh-CN"/>
        </w:rPr>
        <w:t>化解</w:t>
      </w:r>
      <w:r>
        <w:rPr>
          <w:rFonts w:hint="default" w:ascii="Times New Roman" w:hAnsi="Times New Roman" w:eastAsia="方正仿宋简体" w:cs="Times New Roman"/>
          <w:snapToGrid w:val="0"/>
          <w:color w:val="000000"/>
          <w:sz w:val="32"/>
          <w:szCs w:val="32"/>
        </w:rPr>
        <w:t>债务风险，加强政府性债务管理工作，落实落细举债融资机制，严格规范政府举债行为，严禁违法违规举债。强化新增债券资金管理，加强资金监管，定期调度资金使用进度，提高债券使用效益。有效防范系统性金融风险，健全金融风险应对和处置机制，完善“政银保”风险分担机制，降低金融机构经营风险。取缔、打击非法金融机构和非法金融活动，开展投资类和财富管理类企业检查，整治净化金融环境。</w:t>
      </w:r>
    </w:p>
    <w:p>
      <w:pPr>
        <w:pageBreakBefore w:val="0"/>
        <w:kinsoku/>
        <w:wordWrap/>
        <w:topLinePunct w:val="0"/>
        <w:autoSpaceDE/>
        <w:autoSpaceDN/>
        <w:bidi w:val="0"/>
        <w:adjustRightInd/>
        <w:snapToGrid/>
        <w:spacing w:line="560" w:lineRule="exact"/>
        <w:ind w:firstLine="640" w:firstLineChars="200"/>
        <w:jc w:val="both"/>
        <w:outlineLvl w:val="2"/>
        <w:rPr>
          <w:rFonts w:hint="default" w:ascii="Times New Roman" w:hAnsi="Times New Roman" w:eastAsia="方正仿宋简体" w:cs="Times New Roman"/>
          <w:snapToGrid w:val="0"/>
          <w:color w:val="000000"/>
          <w:sz w:val="32"/>
          <w:szCs w:val="32"/>
        </w:rPr>
      </w:pPr>
      <w:r>
        <w:rPr>
          <w:rFonts w:hint="default" w:ascii="Times New Roman" w:hAnsi="Times New Roman" w:eastAsia="楷体_GB2312" w:cs="Times New Roman"/>
          <w:snapToGrid w:val="0"/>
          <w:color w:val="000000"/>
          <w:sz w:val="32"/>
          <w:szCs w:val="32"/>
        </w:rPr>
        <w:t>5.把好机关“作风关”，着力提升履职尽责能力。</w:t>
      </w:r>
      <w:r>
        <w:rPr>
          <w:rFonts w:hint="default" w:ascii="Times New Roman" w:hAnsi="Times New Roman" w:eastAsia="方正仿宋简体" w:cs="Times New Roman"/>
          <w:snapToGrid w:val="0"/>
          <w:color w:val="000000"/>
          <w:sz w:val="32"/>
          <w:szCs w:val="32"/>
        </w:rPr>
        <w:t>加强机关党建，</w:t>
      </w:r>
      <w:r>
        <w:rPr>
          <w:rFonts w:hint="default" w:ascii="Times New Roman" w:hAnsi="Times New Roman" w:eastAsia="方正仿宋简体" w:cs="Times New Roman"/>
          <w:color w:val="000000"/>
          <w:sz w:val="32"/>
          <w:szCs w:val="32"/>
        </w:rPr>
        <w:t>落实全面从严治党和党风廉政建设“一岗双责”，联系财政部门实际，加强纪律建设、</w:t>
      </w:r>
      <w:r>
        <w:rPr>
          <w:rFonts w:hint="default" w:ascii="Times New Roman" w:hAnsi="Times New Roman" w:eastAsia="方正仿宋简体" w:cs="Times New Roman"/>
          <w:snapToGrid w:val="0"/>
          <w:color w:val="000000"/>
          <w:sz w:val="32"/>
          <w:szCs w:val="32"/>
        </w:rPr>
        <w:t>干部队伍建设，</w:t>
      </w:r>
      <w:r>
        <w:rPr>
          <w:rFonts w:hint="default" w:ascii="Times New Roman" w:hAnsi="Times New Roman" w:eastAsia="方正仿宋简体" w:cs="Times New Roman"/>
          <w:color w:val="000000"/>
          <w:sz w:val="32"/>
          <w:szCs w:val="32"/>
        </w:rPr>
        <w:t>推动全面从严治党向纵深发展。</w:t>
      </w:r>
      <w:r>
        <w:rPr>
          <w:rFonts w:hint="default" w:ascii="Times New Roman" w:hAnsi="Times New Roman" w:eastAsia="方正仿宋简体" w:cs="Times New Roman"/>
          <w:snapToGrid w:val="0"/>
          <w:color w:val="000000"/>
          <w:sz w:val="32"/>
          <w:szCs w:val="32"/>
        </w:rPr>
        <w:t>持续改进作风，</w:t>
      </w:r>
      <w:r>
        <w:rPr>
          <w:rFonts w:hint="default" w:ascii="Times New Roman" w:hAnsi="Times New Roman" w:eastAsia="方正仿宋简体" w:cs="Times New Roman"/>
          <w:color w:val="000000"/>
          <w:sz w:val="32"/>
          <w:szCs w:val="32"/>
        </w:rPr>
        <w:t>深化部门会商、结对共建、定点帮扶、联系基层等作风建设成果，</w:t>
      </w:r>
      <w:r>
        <w:rPr>
          <w:rFonts w:hint="default" w:ascii="Times New Roman" w:hAnsi="Times New Roman" w:eastAsia="方正仿宋简体" w:cs="Times New Roman"/>
          <w:snapToGrid w:val="0"/>
          <w:color w:val="000000"/>
          <w:sz w:val="32"/>
          <w:szCs w:val="32"/>
        </w:rPr>
        <w:t>强化机关绩效评价结果运用，</w:t>
      </w:r>
      <w:r>
        <w:rPr>
          <w:rFonts w:hint="default" w:ascii="Times New Roman" w:hAnsi="Times New Roman" w:eastAsia="方正仿宋简体" w:cs="Times New Roman"/>
          <w:color w:val="000000"/>
          <w:sz w:val="32"/>
          <w:szCs w:val="32"/>
        </w:rPr>
        <w:t>持之以恒抓好财政系统政风行风建设</w:t>
      </w:r>
      <w:r>
        <w:rPr>
          <w:rFonts w:hint="default" w:ascii="Times New Roman" w:hAnsi="Times New Roman" w:eastAsia="方正仿宋简体" w:cs="Times New Roman"/>
          <w:snapToGrid w:val="0"/>
          <w:color w:val="000000"/>
          <w:sz w:val="32"/>
          <w:szCs w:val="32"/>
        </w:rPr>
        <w:t>。巩固深化党史学习教育成果，持续跟踪服务“我为群众办实事”区级重点项目，不断转作风、优环境、提效能。</w:t>
      </w:r>
    </w:p>
    <w:p>
      <w:pPr>
        <w:pageBreakBefore w:val="0"/>
        <w:kinsoku/>
        <w:wordWrap/>
        <w:topLinePunct w:val="0"/>
        <w:autoSpaceDE/>
        <w:autoSpaceDN/>
        <w:bidi w:val="0"/>
        <w:adjustRightInd/>
        <w:snapToGrid/>
        <w:spacing w:line="560" w:lineRule="exact"/>
        <w:ind w:firstLine="640" w:firstLineChars="200"/>
        <w:jc w:val="both"/>
        <w:rPr>
          <w:rFonts w:hint="default" w:ascii="Times New Roman" w:hAnsi="Times New Roman" w:eastAsia="方正仿宋简体" w:cs="Times New Roman"/>
          <w:sz w:val="32"/>
          <w:szCs w:val="32"/>
        </w:rPr>
      </w:pPr>
      <w:r>
        <w:rPr>
          <w:rFonts w:hint="default" w:ascii="Times New Roman" w:hAnsi="Times New Roman" w:eastAsia="方正仿宋简体" w:cs="Times New Roman"/>
          <w:color w:val="000000"/>
          <w:sz w:val="32"/>
          <w:szCs w:val="32"/>
        </w:rPr>
        <w:t>各位代表，新时代财政改革与发展任务艰巨、使命光荣。让我们高举习近平新时代中国特色社会主义思想伟大旗帜，在区委、区政府的领导下，在区人大和社会各界监督和支持下，全面深化改革，积极开拓创新，扎实开展工作，充分发挥财政的基础和重要支柱作用，为建设新阶段现代化实力颍东、善治颍东、幸福颍东作出新的贡献，以优异成绩迎接党的二十大胜利召开！</w:t>
      </w:r>
    </w:p>
    <w:sectPr>
      <w:footerReference r:id="rId3" w:type="default"/>
      <w:pgSz w:w="11906" w:h="16838"/>
      <w:pgMar w:top="2098" w:right="1984" w:bottom="153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仿宋简体">
    <w:altName w:val="方正仿宋_GBK"/>
    <w:panose1 w:val="03000509000000000000"/>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- 9 -</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- 9 -</w:t>
                    </w:r>
                    <w:r>
                      <w:rPr>
                        <w:rFonts w:hint="eastAsia" w:ascii="仿宋_GB2312" w:hAnsi="仿宋_GB2312" w:eastAsia="仿宋_GB2312" w:cs="仿宋_GB2312"/>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422FAD"/>
    <w:rsid w:val="002F11C1"/>
    <w:rsid w:val="00384B9C"/>
    <w:rsid w:val="005117D8"/>
    <w:rsid w:val="00537014"/>
    <w:rsid w:val="00542ECD"/>
    <w:rsid w:val="00587164"/>
    <w:rsid w:val="006A6E43"/>
    <w:rsid w:val="00781E18"/>
    <w:rsid w:val="00793AF0"/>
    <w:rsid w:val="009755D4"/>
    <w:rsid w:val="00B32474"/>
    <w:rsid w:val="00D10B34"/>
    <w:rsid w:val="00D97863"/>
    <w:rsid w:val="00F50CDF"/>
    <w:rsid w:val="017936BE"/>
    <w:rsid w:val="019B3634"/>
    <w:rsid w:val="01EC29A2"/>
    <w:rsid w:val="01F40F97"/>
    <w:rsid w:val="0247233D"/>
    <w:rsid w:val="02A46519"/>
    <w:rsid w:val="031C2D78"/>
    <w:rsid w:val="032B09E8"/>
    <w:rsid w:val="03960557"/>
    <w:rsid w:val="03964A91"/>
    <w:rsid w:val="039D4942"/>
    <w:rsid w:val="03CC21CB"/>
    <w:rsid w:val="03E60362"/>
    <w:rsid w:val="043747F2"/>
    <w:rsid w:val="04D939B6"/>
    <w:rsid w:val="05AE279D"/>
    <w:rsid w:val="06141C07"/>
    <w:rsid w:val="07462294"/>
    <w:rsid w:val="074B78AB"/>
    <w:rsid w:val="07666493"/>
    <w:rsid w:val="078304B8"/>
    <w:rsid w:val="07D3461F"/>
    <w:rsid w:val="082C3238"/>
    <w:rsid w:val="09150170"/>
    <w:rsid w:val="09A84B40"/>
    <w:rsid w:val="09EC7123"/>
    <w:rsid w:val="0A6071C9"/>
    <w:rsid w:val="0B126179"/>
    <w:rsid w:val="0B491765"/>
    <w:rsid w:val="0C3C447E"/>
    <w:rsid w:val="0C422FAD"/>
    <w:rsid w:val="0C662A91"/>
    <w:rsid w:val="0CC954FA"/>
    <w:rsid w:val="0D13264B"/>
    <w:rsid w:val="0D1D3A97"/>
    <w:rsid w:val="0D200E92"/>
    <w:rsid w:val="0D561DE6"/>
    <w:rsid w:val="0DA3171A"/>
    <w:rsid w:val="0F172342"/>
    <w:rsid w:val="0F406512"/>
    <w:rsid w:val="0FE00324"/>
    <w:rsid w:val="10205E74"/>
    <w:rsid w:val="10237832"/>
    <w:rsid w:val="103A04BC"/>
    <w:rsid w:val="11A02A7B"/>
    <w:rsid w:val="11D11A3C"/>
    <w:rsid w:val="11F12DFD"/>
    <w:rsid w:val="133819BC"/>
    <w:rsid w:val="145E5B2E"/>
    <w:rsid w:val="148D1503"/>
    <w:rsid w:val="14D507B4"/>
    <w:rsid w:val="16005D04"/>
    <w:rsid w:val="166E7112"/>
    <w:rsid w:val="16E01DBD"/>
    <w:rsid w:val="16E11692"/>
    <w:rsid w:val="17DC253A"/>
    <w:rsid w:val="18BF3C55"/>
    <w:rsid w:val="19E35721"/>
    <w:rsid w:val="1A367F46"/>
    <w:rsid w:val="1AFD0A64"/>
    <w:rsid w:val="1BEF2AA3"/>
    <w:rsid w:val="1C087E34"/>
    <w:rsid w:val="1C093B64"/>
    <w:rsid w:val="1CCE090A"/>
    <w:rsid w:val="1D4B7D44"/>
    <w:rsid w:val="1E027B97"/>
    <w:rsid w:val="1E234AB0"/>
    <w:rsid w:val="1EA90CE7"/>
    <w:rsid w:val="1EDC52E7"/>
    <w:rsid w:val="1F356A1F"/>
    <w:rsid w:val="1F8B2AE2"/>
    <w:rsid w:val="1FBC0EEE"/>
    <w:rsid w:val="20535E91"/>
    <w:rsid w:val="206B45C9"/>
    <w:rsid w:val="22D82117"/>
    <w:rsid w:val="234C4337"/>
    <w:rsid w:val="23AB3753"/>
    <w:rsid w:val="23AC05F7"/>
    <w:rsid w:val="23D36806"/>
    <w:rsid w:val="23D70812"/>
    <w:rsid w:val="23F14496"/>
    <w:rsid w:val="262F7BFF"/>
    <w:rsid w:val="26BC17D3"/>
    <w:rsid w:val="26DF2D07"/>
    <w:rsid w:val="27054F28"/>
    <w:rsid w:val="27182EAE"/>
    <w:rsid w:val="27547C5E"/>
    <w:rsid w:val="27644345"/>
    <w:rsid w:val="27934C2A"/>
    <w:rsid w:val="27A86804"/>
    <w:rsid w:val="27AF30E6"/>
    <w:rsid w:val="27D07A8E"/>
    <w:rsid w:val="286D4C20"/>
    <w:rsid w:val="29B73B24"/>
    <w:rsid w:val="29C63095"/>
    <w:rsid w:val="2B3571E1"/>
    <w:rsid w:val="2BEE0681"/>
    <w:rsid w:val="2C0F23A5"/>
    <w:rsid w:val="2C3D5164"/>
    <w:rsid w:val="2C4958B7"/>
    <w:rsid w:val="2D8F7C42"/>
    <w:rsid w:val="2DBE6E82"/>
    <w:rsid w:val="2E692241"/>
    <w:rsid w:val="2E8550C8"/>
    <w:rsid w:val="2ED40002"/>
    <w:rsid w:val="2F360741"/>
    <w:rsid w:val="2F81180C"/>
    <w:rsid w:val="309D4424"/>
    <w:rsid w:val="312E1520"/>
    <w:rsid w:val="333523FB"/>
    <w:rsid w:val="33B026C0"/>
    <w:rsid w:val="33D74D57"/>
    <w:rsid w:val="34B00BC9"/>
    <w:rsid w:val="34B25383"/>
    <w:rsid w:val="351A1BCC"/>
    <w:rsid w:val="36785717"/>
    <w:rsid w:val="36A22794"/>
    <w:rsid w:val="36A302BA"/>
    <w:rsid w:val="37DE1FDC"/>
    <w:rsid w:val="38902F94"/>
    <w:rsid w:val="39593D6D"/>
    <w:rsid w:val="396D24A5"/>
    <w:rsid w:val="39AE1450"/>
    <w:rsid w:val="39B822CE"/>
    <w:rsid w:val="39E10461"/>
    <w:rsid w:val="3A2D4A6A"/>
    <w:rsid w:val="3AE3337B"/>
    <w:rsid w:val="3B1D063B"/>
    <w:rsid w:val="3B462B12"/>
    <w:rsid w:val="3B7A783B"/>
    <w:rsid w:val="3BBF7944"/>
    <w:rsid w:val="3C1A101E"/>
    <w:rsid w:val="3D7824A0"/>
    <w:rsid w:val="3DD1395F"/>
    <w:rsid w:val="3E2241BA"/>
    <w:rsid w:val="3E66054B"/>
    <w:rsid w:val="3EDC080D"/>
    <w:rsid w:val="3F384FB5"/>
    <w:rsid w:val="3F7877A9"/>
    <w:rsid w:val="3FF0720A"/>
    <w:rsid w:val="40491ED2"/>
    <w:rsid w:val="410E7DF5"/>
    <w:rsid w:val="419F4AD1"/>
    <w:rsid w:val="42497F67"/>
    <w:rsid w:val="42632846"/>
    <w:rsid w:val="427A4D6B"/>
    <w:rsid w:val="42CA3C4D"/>
    <w:rsid w:val="43E52DF0"/>
    <w:rsid w:val="44075192"/>
    <w:rsid w:val="44AE54F8"/>
    <w:rsid w:val="4550160D"/>
    <w:rsid w:val="45B33CEB"/>
    <w:rsid w:val="461B0B6B"/>
    <w:rsid w:val="46C40504"/>
    <w:rsid w:val="46F72688"/>
    <w:rsid w:val="47047438"/>
    <w:rsid w:val="47C02A7A"/>
    <w:rsid w:val="48A91760"/>
    <w:rsid w:val="496E4757"/>
    <w:rsid w:val="49D23814"/>
    <w:rsid w:val="4A8C1339"/>
    <w:rsid w:val="4A91694F"/>
    <w:rsid w:val="4B3F63AB"/>
    <w:rsid w:val="4B5005B9"/>
    <w:rsid w:val="4B6202EC"/>
    <w:rsid w:val="4BA10E14"/>
    <w:rsid w:val="4BA426B2"/>
    <w:rsid w:val="4C0D44A4"/>
    <w:rsid w:val="4C143394"/>
    <w:rsid w:val="4C624E34"/>
    <w:rsid w:val="4CB60F0D"/>
    <w:rsid w:val="4CC14A01"/>
    <w:rsid w:val="4DD92AE7"/>
    <w:rsid w:val="4E0C60D9"/>
    <w:rsid w:val="4EA76741"/>
    <w:rsid w:val="4EF37BD9"/>
    <w:rsid w:val="4FAD3CFC"/>
    <w:rsid w:val="50DC591D"/>
    <w:rsid w:val="52276BFA"/>
    <w:rsid w:val="52884ADC"/>
    <w:rsid w:val="52DC0984"/>
    <w:rsid w:val="530C3017"/>
    <w:rsid w:val="54ED70D9"/>
    <w:rsid w:val="55741347"/>
    <w:rsid w:val="5579070C"/>
    <w:rsid w:val="56151D85"/>
    <w:rsid w:val="57A8352A"/>
    <w:rsid w:val="58690F0C"/>
    <w:rsid w:val="58BA3515"/>
    <w:rsid w:val="59457283"/>
    <w:rsid w:val="594B0611"/>
    <w:rsid w:val="5A2570B4"/>
    <w:rsid w:val="5A943088"/>
    <w:rsid w:val="5AE64A95"/>
    <w:rsid w:val="5B7420A1"/>
    <w:rsid w:val="5CDF03BE"/>
    <w:rsid w:val="5D027239"/>
    <w:rsid w:val="5DF421DF"/>
    <w:rsid w:val="5F2416E8"/>
    <w:rsid w:val="5F4E4E4D"/>
    <w:rsid w:val="5F922AF6"/>
    <w:rsid w:val="619A0388"/>
    <w:rsid w:val="61DB37D3"/>
    <w:rsid w:val="625A7DBD"/>
    <w:rsid w:val="6315416A"/>
    <w:rsid w:val="63473BF7"/>
    <w:rsid w:val="63564547"/>
    <w:rsid w:val="64A01811"/>
    <w:rsid w:val="65242442"/>
    <w:rsid w:val="65F657B5"/>
    <w:rsid w:val="67332E10"/>
    <w:rsid w:val="68104F00"/>
    <w:rsid w:val="68C44E48"/>
    <w:rsid w:val="699E15C6"/>
    <w:rsid w:val="699F653B"/>
    <w:rsid w:val="6A892D47"/>
    <w:rsid w:val="6B9E6420"/>
    <w:rsid w:val="6C027255"/>
    <w:rsid w:val="6CC41752"/>
    <w:rsid w:val="6CE23117"/>
    <w:rsid w:val="6D341690"/>
    <w:rsid w:val="6D972721"/>
    <w:rsid w:val="6DDB7D5E"/>
    <w:rsid w:val="6E0B0643"/>
    <w:rsid w:val="6EA82634"/>
    <w:rsid w:val="6EE03C68"/>
    <w:rsid w:val="6FD13EA2"/>
    <w:rsid w:val="705F4C76"/>
    <w:rsid w:val="70AE3508"/>
    <w:rsid w:val="71431EA2"/>
    <w:rsid w:val="73223D39"/>
    <w:rsid w:val="735E37BE"/>
    <w:rsid w:val="73A26FDA"/>
    <w:rsid w:val="73CC255F"/>
    <w:rsid w:val="74744A68"/>
    <w:rsid w:val="74E0220A"/>
    <w:rsid w:val="752C1004"/>
    <w:rsid w:val="75C86E1A"/>
    <w:rsid w:val="762878B8"/>
    <w:rsid w:val="762B73A9"/>
    <w:rsid w:val="763C15B6"/>
    <w:rsid w:val="77381D7D"/>
    <w:rsid w:val="77604072"/>
    <w:rsid w:val="776B3F01"/>
    <w:rsid w:val="77A80CB1"/>
    <w:rsid w:val="78395DAD"/>
    <w:rsid w:val="79305402"/>
    <w:rsid w:val="79C40764"/>
    <w:rsid w:val="7A210EDA"/>
    <w:rsid w:val="7B7754C9"/>
    <w:rsid w:val="7CA51C63"/>
    <w:rsid w:val="7D3C7055"/>
    <w:rsid w:val="7D711B45"/>
    <w:rsid w:val="7DA261A2"/>
    <w:rsid w:val="7DEB5D9B"/>
    <w:rsid w:val="7DFE353A"/>
    <w:rsid w:val="7E1626EC"/>
    <w:rsid w:val="7E266DD3"/>
    <w:rsid w:val="7E3077B5"/>
    <w:rsid w:val="7E635932"/>
    <w:rsid w:val="7EC5039A"/>
    <w:rsid w:val="7FCA5F16"/>
    <w:rsid w:val="EBDF4F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cs="Times New Roman" w:asciiTheme="minorHAnsi" w:hAnsiTheme="minorHAnsi" w:eastAsiaTheme="minorEastAsia"/>
      <w:sz w:val="24"/>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after="140" w:line="276" w:lineRule="auto"/>
      <w:jc w:val="both"/>
      <w:textAlignment w:val="baseline"/>
    </w:p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Normal (Web)"/>
    <w:basedOn w:val="1"/>
    <w:qFormat/>
    <w:uiPriority w:val="0"/>
    <w:pPr>
      <w:spacing w:before="100" w:beforeAutospacing="1" w:after="100" w:afterAutospacing="1"/>
    </w:pPr>
  </w:style>
  <w:style w:type="character" w:customStyle="1" w:styleId="9">
    <w:name w:val="NormalCharacter"/>
    <w:semiHidden/>
    <w:qFormat/>
    <w:uiPriority w:val="99"/>
    <w:rPr>
      <w:rFonts w:asciiTheme="minorHAnsi" w:hAnsiTheme="minorHAnsi" w:eastAsiaTheme="minorEastAsia" w:cstheme="minorBidi"/>
      <w:kern w:val="0"/>
      <w:sz w:val="24"/>
      <w:szCs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897</Words>
  <Characters>5115</Characters>
  <Lines>42</Lines>
  <Paragraphs>11</Paragraphs>
  <TotalTime>0</TotalTime>
  <ScaleCrop>false</ScaleCrop>
  <LinksUpToDate>false</LinksUpToDate>
  <CharactersWithSpaces>6001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2021-12-13T23:02:00Z</dcterms:created>
  <dc:creator>392701814qqcom</dc:creator>
  <cp:lastModifiedBy>user</cp:lastModifiedBy>
  <cp:lastPrinted>2022-01-01T18:51:00Z</cp:lastPrinted>
  <dcterms:modified xsi:type="dcterms:W3CDTF">2022-02-25T10:37:49Z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94BD6702B6E4469AB8683D631C29CADC</vt:lpwstr>
  </property>
</Properties>
</file>